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200" w:lineRule="atLeast"/>
        <w:jc w:val="center"/>
        <w:rPr>
          <w:rFonts w:ascii="微软雅黑" w:hAnsi="微软雅黑" w:eastAsia="微软雅黑" w:cs="微软雅黑"/>
          <w:b/>
          <w:kern w:val="0"/>
          <w:sz w:val="36"/>
          <w:szCs w:val="36"/>
          <w:shd w:val="clear" w:color="auto" w:fill="FFFFFF"/>
        </w:rPr>
      </w:pPr>
    </w:p>
    <w:p>
      <w:pPr>
        <w:widowControl/>
        <w:spacing w:line="1200" w:lineRule="atLeast"/>
        <w:jc w:val="center"/>
        <w:rPr>
          <w:rFonts w:ascii="微软雅黑" w:hAnsi="微软雅黑" w:eastAsia="微软雅黑" w:cs="微软雅黑"/>
          <w:b/>
          <w:kern w:val="0"/>
          <w:sz w:val="36"/>
          <w:szCs w:val="36"/>
          <w:shd w:val="clear" w:color="auto" w:fill="FFFFFF"/>
        </w:rPr>
      </w:pPr>
    </w:p>
    <w:p>
      <w:pPr>
        <w:widowControl/>
        <w:spacing w:line="1200" w:lineRule="atLeast"/>
        <w:jc w:val="center"/>
        <w:rPr>
          <w:rFonts w:ascii="微软雅黑" w:hAnsi="微软雅黑" w:eastAsia="微软雅黑" w:cs="微软雅黑"/>
          <w:sz w:val="36"/>
          <w:szCs w:val="36"/>
        </w:rPr>
      </w:pPr>
      <w:r>
        <w:rPr>
          <w:rFonts w:hint="eastAsia" w:ascii="微软雅黑" w:hAnsi="微软雅黑" w:eastAsia="微软雅黑" w:cs="微软雅黑"/>
          <w:b/>
          <w:kern w:val="0"/>
          <w:sz w:val="36"/>
          <w:szCs w:val="36"/>
          <w:shd w:val="clear" w:color="auto" w:fill="FFFFFF"/>
        </w:rPr>
        <w:t>内蒙古商贸职业学院</w:t>
      </w:r>
      <w:r>
        <w:rPr>
          <w:rFonts w:ascii="微软雅黑" w:hAnsi="微软雅黑" w:eastAsia="微软雅黑" w:cs="微软雅黑"/>
          <w:b/>
          <w:kern w:val="0"/>
          <w:sz w:val="36"/>
          <w:szCs w:val="36"/>
          <w:shd w:val="clear" w:color="auto" w:fill="FFFFFF"/>
        </w:rPr>
        <w:t>202</w:t>
      </w:r>
      <w:r>
        <w:rPr>
          <w:rFonts w:hint="eastAsia" w:ascii="微软雅黑" w:hAnsi="微软雅黑" w:eastAsia="微软雅黑" w:cs="微软雅黑"/>
          <w:b/>
          <w:kern w:val="0"/>
          <w:sz w:val="36"/>
          <w:szCs w:val="36"/>
          <w:shd w:val="clear" w:color="auto" w:fill="FFFFFF"/>
        </w:rPr>
        <w:t>2</w:t>
      </w:r>
      <w:r>
        <w:rPr>
          <w:rFonts w:ascii="微软雅黑" w:hAnsi="微软雅黑" w:eastAsia="微软雅黑" w:cs="微软雅黑"/>
          <w:b/>
          <w:kern w:val="0"/>
          <w:sz w:val="36"/>
          <w:szCs w:val="36"/>
          <w:shd w:val="clear" w:color="auto" w:fill="FFFFFF"/>
        </w:rPr>
        <w:t>年预算公开报告</w:t>
      </w:r>
    </w:p>
    <w:p>
      <w:pPr>
        <w:widowControl/>
        <w:spacing w:line="540" w:lineRule="atLeast"/>
        <w:jc w:val="center"/>
        <w:rPr>
          <w:rFonts w:ascii="微软雅黑" w:hAnsi="微软雅黑" w:eastAsia="微软雅黑" w:cs="微软雅黑"/>
          <w:sz w:val="24"/>
        </w:rPr>
      </w:pPr>
      <w:r>
        <w:rPr>
          <w:rFonts w:ascii="微软雅黑" w:hAnsi="微软雅黑" w:eastAsia="微软雅黑" w:cs="微软雅黑"/>
          <w:kern w:val="0"/>
          <w:sz w:val="24"/>
          <w:shd w:val="clear" w:color="auto" w:fill="FFFFFF"/>
        </w:rPr>
        <w:t> </w:t>
      </w:r>
    </w:p>
    <w:p>
      <w:pPr>
        <w:widowControl/>
        <w:spacing w:line="540" w:lineRule="atLeast"/>
        <w:jc w:val="center"/>
        <w:rPr>
          <w:rFonts w:ascii="微软雅黑" w:hAnsi="微软雅黑" w:eastAsia="微软雅黑" w:cs="微软雅黑"/>
          <w:kern w:val="0"/>
          <w:sz w:val="24"/>
          <w:shd w:val="clear" w:color="auto" w:fill="FFFFFF"/>
        </w:rPr>
      </w:pPr>
    </w:p>
    <w:p>
      <w:pPr>
        <w:widowControl/>
        <w:spacing w:line="540" w:lineRule="atLeast"/>
        <w:jc w:val="center"/>
        <w:rPr>
          <w:rFonts w:ascii="微软雅黑" w:hAnsi="微软雅黑" w:eastAsia="微软雅黑" w:cs="微软雅黑"/>
          <w:kern w:val="0"/>
          <w:sz w:val="24"/>
          <w:shd w:val="clear" w:color="auto" w:fill="FFFFFF"/>
        </w:rPr>
      </w:pPr>
    </w:p>
    <w:p>
      <w:pPr>
        <w:widowControl/>
        <w:spacing w:line="540" w:lineRule="atLeast"/>
        <w:jc w:val="center"/>
        <w:rPr>
          <w:rFonts w:ascii="微软雅黑" w:hAnsi="微软雅黑" w:eastAsia="微软雅黑" w:cs="微软雅黑"/>
          <w:kern w:val="0"/>
          <w:sz w:val="24"/>
          <w:shd w:val="clear" w:color="auto" w:fill="FFFFFF"/>
        </w:rPr>
      </w:pPr>
    </w:p>
    <w:p>
      <w:pPr>
        <w:widowControl/>
        <w:spacing w:line="540" w:lineRule="atLeast"/>
        <w:jc w:val="center"/>
        <w:rPr>
          <w:rFonts w:ascii="微软雅黑" w:hAnsi="微软雅黑" w:eastAsia="微软雅黑" w:cs="微软雅黑"/>
          <w:sz w:val="24"/>
        </w:rPr>
      </w:pPr>
      <w:r>
        <w:rPr>
          <w:rFonts w:ascii="微软雅黑" w:hAnsi="微软雅黑" w:eastAsia="微软雅黑" w:cs="微软雅黑"/>
          <w:kern w:val="0"/>
          <w:sz w:val="24"/>
          <w:shd w:val="clear" w:color="auto" w:fill="FFFFFF"/>
        </w:rPr>
        <w:t> </w:t>
      </w:r>
    </w:p>
    <w:p>
      <w:pPr>
        <w:widowControl/>
        <w:spacing w:line="540" w:lineRule="atLeast"/>
        <w:jc w:val="center"/>
        <w:rPr>
          <w:rFonts w:ascii="微软雅黑" w:hAnsi="微软雅黑" w:eastAsia="微软雅黑" w:cs="微软雅黑"/>
          <w:sz w:val="24"/>
        </w:rPr>
      </w:pPr>
      <w:r>
        <w:rPr>
          <w:rFonts w:ascii="微软雅黑" w:hAnsi="微软雅黑" w:eastAsia="微软雅黑" w:cs="微软雅黑"/>
          <w:kern w:val="0"/>
          <w:sz w:val="24"/>
          <w:shd w:val="clear" w:color="auto" w:fill="FFFFFF"/>
        </w:rPr>
        <w:t> </w:t>
      </w:r>
    </w:p>
    <w:p>
      <w:pPr>
        <w:widowControl/>
        <w:spacing w:line="540" w:lineRule="atLeast"/>
        <w:jc w:val="center"/>
        <w:rPr>
          <w:rFonts w:hint="eastAsia" w:ascii="仿宋" w:hAnsi="仿宋" w:eastAsia="仿宋" w:cs="仿宋"/>
          <w:sz w:val="32"/>
          <w:szCs w:val="32"/>
        </w:rPr>
      </w:pPr>
      <w:r>
        <w:rPr>
          <w:rFonts w:hint="eastAsia" w:ascii="仿宋" w:hAnsi="仿宋" w:eastAsia="仿宋" w:cs="仿宋"/>
          <w:kern w:val="0"/>
          <w:sz w:val="32"/>
          <w:szCs w:val="32"/>
          <w:shd w:val="clear" w:color="auto" w:fill="FFFFFF"/>
        </w:rPr>
        <w:t>二〇二二年二月</w:t>
      </w:r>
      <w:r>
        <w:rPr>
          <w:rFonts w:hint="eastAsia" w:ascii="仿宋" w:hAnsi="仿宋" w:eastAsia="仿宋" w:cs="仿宋"/>
          <w:kern w:val="0"/>
          <w:sz w:val="32"/>
          <w:szCs w:val="32"/>
          <w:shd w:val="clear" w:color="auto" w:fill="FFFFFF"/>
          <w:lang w:val="en-US" w:eastAsia="zh-CN"/>
        </w:rPr>
        <w:t>一</w:t>
      </w:r>
      <w:bookmarkStart w:id="0" w:name="_GoBack"/>
      <w:bookmarkEnd w:id="0"/>
      <w:r>
        <w:rPr>
          <w:rFonts w:hint="eastAsia" w:ascii="仿宋" w:hAnsi="仿宋" w:eastAsia="仿宋" w:cs="仿宋"/>
          <w:kern w:val="0"/>
          <w:sz w:val="32"/>
          <w:szCs w:val="32"/>
          <w:shd w:val="clear" w:color="auto" w:fill="FFFFFF"/>
        </w:rPr>
        <w:t>十</w:t>
      </w:r>
      <w:r>
        <w:rPr>
          <w:rFonts w:hint="eastAsia" w:ascii="仿宋" w:hAnsi="仿宋" w:eastAsia="仿宋" w:cs="仿宋"/>
          <w:kern w:val="0"/>
          <w:sz w:val="32"/>
          <w:szCs w:val="32"/>
          <w:shd w:val="clear" w:color="auto" w:fill="FFFFFF"/>
          <w:lang w:eastAsia="zh-CN"/>
        </w:rPr>
        <w:t>一</w:t>
      </w:r>
      <w:r>
        <w:rPr>
          <w:rFonts w:hint="eastAsia" w:ascii="仿宋" w:hAnsi="仿宋" w:eastAsia="仿宋" w:cs="仿宋"/>
          <w:kern w:val="0"/>
          <w:sz w:val="32"/>
          <w:szCs w:val="32"/>
          <w:shd w:val="clear" w:color="auto" w:fill="FFFFFF"/>
        </w:rPr>
        <w:t>日</w:t>
      </w:r>
    </w:p>
    <w:p>
      <w:pPr>
        <w:widowControl/>
        <w:spacing w:line="540" w:lineRule="atLeast"/>
        <w:ind w:firstLine="2880"/>
        <w:jc w:val="left"/>
        <w:rPr>
          <w:rFonts w:ascii="微软雅黑" w:hAnsi="微软雅黑" w:eastAsia="微软雅黑" w:cs="微软雅黑"/>
          <w:kern w:val="0"/>
          <w:sz w:val="24"/>
          <w:shd w:val="clear" w:color="auto" w:fill="FFFFFF"/>
        </w:rPr>
      </w:pPr>
      <w:r>
        <w:rPr>
          <w:rFonts w:ascii="微软雅黑" w:hAnsi="微软雅黑" w:eastAsia="微软雅黑" w:cs="微软雅黑"/>
          <w:kern w:val="0"/>
          <w:sz w:val="24"/>
          <w:shd w:val="clear" w:color="auto" w:fill="FFFFFF"/>
        </w:rPr>
        <w:t> </w:t>
      </w:r>
    </w:p>
    <w:p>
      <w:pPr>
        <w:widowControl/>
        <w:spacing w:line="540" w:lineRule="atLeast"/>
        <w:ind w:firstLine="2880"/>
        <w:jc w:val="left"/>
        <w:rPr>
          <w:rFonts w:ascii="微软雅黑" w:hAnsi="微软雅黑" w:eastAsia="微软雅黑" w:cs="微软雅黑"/>
          <w:color w:val="5B9BD5" w:themeColor="accent1"/>
          <w:kern w:val="0"/>
          <w:sz w:val="24"/>
          <w:shd w:val="clear" w:color="auto" w:fill="FFFFFF"/>
          <w14:textFill>
            <w14:solidFill>
              <w14:schemeClr w14:val="accent1"/>
            </w14:solidFill>
          </w14:textFill>
        </w:rPr>
      </w:pPr>
    </w:p>
    <w:p>
      <w:pPr>
        <w:widowControl/>
        <w:spacing w:line="540" w:lineRule="atLeast"/>
        <w:ind w:firstLine="2880"/>
        <w:jc w:val="left"/>
        <w:rPr>
          <w:rFonts w:ascii="微软雅黑" w:hAnsi="微软雅黑" w:eastAsia="微软雅黑" w:cs="微软雅黑"/>
          <w:color w:val="5B9BD5" w:themeColor="accent1"/>
          <w:kern w:val="0"/>
          <w:sz w:val="24"/>
          <w:shd w:val="clear" w:color="auto" w:fill="FFFFFF"/>
          <w14:textFill>
            <w14:solidFill>
              <w14:schemeClr w14:val="accent1"/>
            </w14:solidFill>
          </w14:textFill>
        </w:rPr>
      </w:pPr>
    </w:p>
    <w:p>
      <w:pPr>
        <w:widowControl/>
        <w:spacing w:line="540" w:lineRule="atLeast"/>
        <w:ind w:firstLine="2880"/>
        <w:jc w:val="left"/>
        <w:rPr>
          <w:rFonts w:ascii="微软雅黑" w:hAnsi="微软雅黑" w:eastAsia="微软雅黑" w:cs="微软雅黑"/>
          <w:color w:val="5B9BD5" w:themeColor="accent1"/>
          <w:kern w:val="0"/>
          <w:sz w:val="24"/>
          <w:shd w:val="clear" w:color="auto" w:fill="FFFFFF"/>
          <w14:textFill>
            <w14:solidFill>
              <w14:schemeClr w14:val="accent1"/>
            </w14:solidFill>
          </w14:textFill>
        </w:rPr>
      </w:pPr>
    </w:p>
    <w:p>
      <w:pPr>
        <w:widowControl/>
        <w:spacing w:line="540" w:lineRule="atLeast"/>
        <w:ind w:firstLine="2880"/>
        <w:jc w:val="left"/>
        <w:rPr>
          <w:rFonts w:ascii="微软雅黑" w:hAnsi="微软雅黑" w:eastAsia="微软雅黑" w:cs="微软雅黑"/>
          <w:color w:val="5B9BD5" w:themeColor="accent1"/>
          <w:kern w:val="0"/>
          <w:sz w:val="24"/>
          <w:shd w:val="clear" w:color="auto" w:fill="FFFFFF"/>
          <w14:textFill>
            <w14:solidFill>
              <w14:schemeClr w14:val="accent1"/>
            </w14:solidFill>
          </w14:textFill>
        </w:rPr>
      </w:pPr>
    </w:p>
    <w:p>
      <w:pPr>
        <w:widowControl/>
        <w:spacing w:line="540" w:lineRule="atLeast"/>
        <w:ind w:firstLine="2880"/>
        <w:jc w:val="left"/>
        <w:rPr>
          <w:rFonts w:ascii="微软雅黑" w:hAnsi="微软雅黑" w:eastAsia="微软雅黑" w:cs="微软雅黑"/>
          <w:color w:val="5B9BD5" w:themeColor="accent1"/>
          <w:kern w:val="0"/>
          <w:sz w:val="24"/>
          <w:shd w:val="clear" w:color="auto" w:fill="FFFFFF"/>
          <w14:textFill>
            <w14:solidFill>
              <w14:schemeClr w14:val="accent1"/>
            </w14:solidFill>
          </w14:textFill>
        </w:rPr>
      </w:pPr>
    </w:p>
    <w:p>
      <w:pPr>
        <w:widowControl/>
        <w:spacing w:line="540" w:lineRule="atLeast"/>
        <w:ind w:firstLine="2880"/>
        <w:jc w:val="left"/>
        <w:rPr>
          <w:rFonts w:ascii="微软雅黑" w:hAnsi="微软雅黑" w:eastAsia="微软雅黑" w:cs="微软雅黑"/>
          <w:color w:val="5B9BD5" w:themeColor="accent1"/>
          <w:kern w:val="0"/>
          <w:sz w:val="24"/>
          <w:shd w:val="clear" w:color="auto" w:fill="FFFFFF"/>
          <w14:textFill>
            <w14:solidFill>
              <w14:schemeClr w14:val="accent1"/>
            </w14:solidFill>
          </w14:textFill>
        </w:rPr>
      </w:pPr>
    </w:p>
    <w:p>
      <w:pPr>
        <w:widowControl/>
        <w:spacing w:line="540" w:lineRule="atLeast"/>
        <w:jc w:val="left"/>
        <w:rPr>
          <w:rFonts w:ascii="微软雅黑" w:hAnsi="微软雅黑" w:eastAsia="微软雅黑" w:cs="微软雅黑"/>
          <w:color w:val="5B9BD5" w:themeColor="accent1"/>
          <w:kern w:val="0"/>
          <w:sz w:val="24"/>
          <w:shd w:val="clear" w:color="auto" w:fill="FFFFFF"/>
          <w14:textFill>
            <w14:solidFill>
              <w14:schemeClr w14:val="accent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p>
    <w:p>
      <w:pPr>
        <w:widowControl/>
        <w:spacing w:line="560" w:lineRule="atLeast"/>
        <w:jc w:val="center"/>
        <w:rPr>
          <w:rFonts w:hint="eastAsia" w:ascii="黑体" w:hAnsi="黑体" w:eastAsia="黑体" w:cs="黑体"/>
          <w:b/>
          <w:kern w:val="0"/>
          <w:sz w:val="36"/>
          <w:szCs w:val="36"/>
          <w:shd w:val="clear" w:color="auto" w:fill="FFFFFF"/>
        </w:rPr>
      </w:pPr>
      <w:r>
        <w:rPr>
          <w:rFonts w:hint="eastAsia" w:ascii="黑体" w:hAnsi="黑体" w:eastAsia="黑体" w:cs="黑体"/>
          <w:b/>
          <w:kern w:val="0"/>
          <w:sz w:val="36"/>
          <w:szCs w:val="36"/>
          <w:shd w:val="clear" w:color="auto" w:fill="FFFFFF"/>
        </w:rPr>
        <w:t>目</w:t>
      </w:r>
      <w:r>
        <w:rPr>
          <w:rFonts w:hint="eastAsia" w:ascii="黑体" w:hAnsi="黑体" w:eastAsia="黑体" w:cs="黑体"/>
          <w:b/>
          <w:kern w:val="0"/>
          <w:sz w:val="36"/>
          <w:szCs w:val="36"/>
          <w:shd w:val="clear" w:color="auto" w:fill="FFFFFF"/>
          <w:lang w:val="en-US" w:eastAsia="zh-CN"/>
        </w:rPr>
        <w:t xml:space="preserve">    </w:t>
      </w:r>
      <w:r>
        <w:rPr>
          <w:rFonts w:hint="eastAsia" w:ascii="黑体" w:hAnsi="黑体" w:eastAsia="黑体" w:cs="黑体"/>
          <w:b/>
          <w:kern w:val="0"/>
          <w:sz w:val="36"/>
          <w:szCs w:val="36"/>
          <w:shd w:val="clear" w:color="auto" w:fill="FFFFFF"/>
        </w:rPr>
        <w:t>  录</w:t>
      </w:r>
    </w:p>
    <w:p>
      <w:pPr>
        <w:widowControl/>
        <w:spacing w:line="560" w:lineRule="atLeast"/>
        <w:jc w:val="left"/>
        <w:rPr>
          <w:rFonts w:hint="eastAsia" w:ascii="黑体" w:hAnsi="黑体" w:eastAsia="黑体" w:cs="黑体"/>
          <w:b/>
          <w:kern w:val="0"/>
          <w:sz w:val="32"/>
          <w:szCs w:val="32"/>
          <w:shd w:val="clear" w:color="auto" w:fill="FFFFFF"/>
        </w:rPr>
      </w:pPr>
      <w:r>
        <w:rPr>
          <w:rFonts w:hint="eastAsia" w:ascii="黑体" w:hAnsi="黑体" w:eastAsia="黑体" w:cs="黑体"/>
          <w:b/>
          <w:kern w:val="0"/>
          <w:sz w:val="32"/>
          <w:szCs w:val="32"/>
          <w:shd w:val="clear" w:color="auto" w:fill="FFFFFF"/>
        </w:rPr>
        <w:t>第一部分  单位概况</w:t>
      </w:r>
    </w:p>
    <w:p>
      <w:pPr>
        <w:widowControl/>
        <w:shd w:val="clear" w:color="auto" w:fill="FFFFFF"/>
        <w:spacing w:line="560" w:lineRule="atLeast"/>
        <w:ind w:firstLine="640"/>
        <w:jc w:val="left"/>
        <w:rPr>
          <w:rFonts w:ascii="微软雅黑" w:hAnsi="微软雅黑" w:eastAsia="微软雅黑" w:cs="微软雅黑"/>
          <w:color w:val="333333"/>
          <w:sz w:val="24"/>
        </w:rPr>
      </w:pPr>
      <w:r>
        <w:rPr>
          <w:rFonts w:ascii="楷体_GB2312" w:hAnsi="微软雅黑" w:eastAsia="楷体_GB2312" w:cs="楷体_GB2312"/>
          <w:color w:val="333333"/>
          <w:kern w:val="0"/>
          <w:sz w:val="32"/>
          <w:szCs w:val="32"/>
          <w:shd w:val="clear" w:color="auto" w:fill="FFFFFF"/>
        </w:rPr>
        <w:t>一、</w:t>
      </w:r>
      <w:r>
        <w:rPr>
          <w:rFonts w:hint="eastAsia" w:ascii="楷体_GB2312" w:hAnsi="微软雅黑" w:eastAsia="楷体_GB2312" w:cs="楷体_GB2312"/>
          <w:color w:val="333333"/>
          <w:kern w:val="0"/>
          <w:sz w:val="32"/>
          <w:szCs w:val="32"/>
          <w:shd w:val="clear" w:color="auto" w:fill="FFFFFF"/>
        </w:rPr>
        <w:t>单位职能</w:t>
      </w:r>
      <w:r>
        <w:rPr>
          <w:rFonts w:ascii="楷体_GB2312" w:hAnsi="微软雅黑" w:eastAsia="楷体_GB2312" w:cs="楷体_GB2312"/>
          <w:color w:val="333333"/>
          <w:kern w:val="0"/>
          <w:sz w:val="32"/>
          <w:szCs w:val="32"/>
          <w:shd w:val="clear" w:color="auto" w:fill="FFFFFF"/>
        </w:rPr>
        <w:t>、</w:t>
      </w:r>
      <w:r>
        <w:rPr>
          <w:rFonts w:hint="eastAsia" w:ascii="楷体_GB2312" w:hAnsi="微软雅黑" w:eastAsia="楷体_GB2312" w:cs="楷体_GB2312"/>
          <w:color w:val="333333"/>
          <w:kern w:val="0"/>
          <w:sz w:val="32"/>
          <w:szCs w:val="32"/>
          <w:shd w:val="clear" w:color="auto" w:fill="FFFFFF"/>
        </w:rPr>
        <w:t>主要</w:t>
      </w:r>
      <w:r>
        <w:rPr>
          <w:rFonts w:ascii="楷体_GB2312" w:hAnsi="微软雅黑" w:eastAsia="楷体_GB2312" w:cs="楷体_GB2312"/>
          <w:color w:val="333333"/>
          <w:kern w:val="0"/>
          <w:sz w:val="32"/>
          <w:szCs w:val="32"/>
          <w:shd w:val="clear" w:color="auto" w:fill="FFFFFF"/>
        </w:rPr>
        <w:t>职责</w:t>
      </w:r>
    </w:p>
    <w:p>
      <w:pPr>
        <w:widowControl/>
        <w:shd w:val="clear" w:color="auto" w:fill="FFFFFF"/>
        <w:spacing w:line="560" w:lineRule="atLeast"/>
        <w:ind w:firstLine="640"/>
        <w:jc w:val="left"/>
        <w:rPr>
          <w:rFonts w:ascii="微软雅黑" w:hAnsi="微软雅黑" w:eastAsia="微软雅黑" w:cs="微软雅黑"/>
          <w:color w:val="333333"/>
          <w:sz w:val="24"/>
        </w:rPr>
      </w:pPr>
      <w:r>
        <w:rPr>
          <w:rFonts w:hint="eastAsia" w:ascii="楷体_GB2312" w:hAnsi="微软雅黑" w:eastAsia="楷体_GB2312" w:cs="楷体_GB2312"/>
          <w:color w:val="333333"/>
          <w:kern w:val="0"/>
          <w:sz w:val="32"/>
          <w:szCs w:val="32"/>
          <w:shd w:val="clear" w:color="auto" w:fill="FFFFFF"/>
        </w:rPr>
        <w:t>二、机构设置及预算单位情况</w:t>
      </w:r>
    </w:p>
    <w:p>
      <w:pPr>
        <w:widowControl/>
        <w:spacing w:line="560" w:lineRule="atLeast"/>
        <w:jc w:val="left"/>
        <w:rPr>
          <w:rFonts w:hint="eastAsia" w:ascii="黑体" w:hAnsi="黑体" w:eastAsia="黑体" w:cs="黑体"/>
          <w:b/>
          <w:kern w:val="0"/>
          <w:sz w:val="32"/>
          <w:szCs w:val="32"/>
          <w:shd w:val="clear" w:color="auto" w:fill="FFFFFF"/>
        </w:rPr>
      </w:pPr>
      <w:r>
        <w:rPr>
          <w:rFonts w:hint="eastAsia" w:ascii="黑体" w:hAnsi="黑体" w:eastAsia="黑体" w:cs="黑体"/>
          <w:b/>
          <w:kern w:val="0"/>
          <w:sz w:val="32"/>
          <w:szCs w:val="32"/>
          <w:shd w:val="clear" w:color="auto" w:fill="FFFFFF"/>
        </w:rPr>
        <w:t>第二部分  2022年单位预算安排情况说明</w:t>
      </w:r>
    </w:p>
    <w:p>
      <w:pPr>
        <w:widowControl/>
        <w:shd w:val="clear" w:color="auto" w:fill="FFFFFF"/>
        <w:spacing w:line="560" w:lineRule="atLeast"/>
        <w:ind w:firstLine="640"/>
        <w:jc w:val="left"/>
        <w:rPr>
          <w:rFonts w:ascii="微软雅黑" w:hAnsi="微软雅黑" w:eastAsia="微软雅黑" w:cs="微软雅黑"/>
          <w:color w:val="333333"/>
          <w:sz w:val="24"/>
        </w:rPr>
      </w:pPr>
      <w:r>
        <w:rPr>
          <w:rFonts w:hint="eastAsia" w:ascii="楷体_GB2312" w:hAnsi="微软雅黑" w:eastAsia="楷体_GB2312" w:cs="楷体_GB2312"/>
          <w:color w:val="333333"/>
          <w:kern w:val="0"/>
          <w:sz w:val="32"/>
          <w:szCs w:val="32"/>
          <w:shd w:val="clear" w:color="auto" w:fill="FFFFFF"/>
        </w:rPr>
        <w:t>一、预算收支总体情况说明</w:t>
      </w:r>
    </w:p>
    <w:p>
      <w:pPr>
        <w:widowControl/>
        <w:shd w:val="clear" w:color="auto" w:fill="FFFFFF"/>
        <w:spacing w:line="560" w:lineRule="atLeast"/>
        <w:ind w:firstLine="640"/>
        <w:jc w:val="left"/>
        <w:rPr>
          <w:rFonts w:ascii="微软雅黑" w:hAnsi="微软雅黑" w:eastAsia="微软雅黑" w:cs="微软雅黑"/>
          <w:color w:val="333333"/>
          <w:sz w:val="24"/>
        </w:rPr>
      </w:pPr>
      <w:r>
        <w:rPr>
          <w:rFonts w:hint="eastAsia" w:ascii="楷体_GB2312" w:hAnsi="微软雅黑" w:eastAsia="楷体_GB2312" w:cs="楷体_GB2312"/>
          <w:color w:val="333333"/>
          <w:kern w:val="0"/>
          <w:sz w:val="32"/>
          <w:szCs w:val="32"/>
          <w:shd w:val="clear" w:color="auto" w:fill="FFFFFF"/>
        </w:rPr>
        <w:t>二、一般公共预算财政拨款收支情况说明</w:t>
      </w:r>
    </w:p>
    <w:p>
      <w:pPr>
        <w:widowControl/>
        <w:shd w:val="clear" w:color="auto" w:fill="FFFFFF"/>
        <w:spacing w:line="560" w:lineRule="atLeast"/>
        <w:ind w:firstLine="640"/>
        <w:jc w:val="left"/>
        <w:rPr>
          <w:rFonts w:ascii="微软雅黑" w:hAnsi="微软雅黑" w:eastAsia="微软雅黑" w:cs="微软雅黑"/>
          <w:color w:val="333333"/>
          <w:sz w:val="24"/>
        </w:rPr>
      </w:pPr>
      <w:r>
        <w:rPr>
          <w:rFonts w:hint="eastAsia" w:ascii="楷体_GB2312" w:hAnsi="微软雅黑" w:eastAsia="楷体_GB2312" w:cs="楷体_GB2312"/>
          <w:color w:val="333333"/>
          <w:kern w:val="0"/>
          <w:sz w:val="32"/>
          <w:szCs w:val="32"/>
          <w:shd w:val="clear" w:color="auto" w:fill="FFFFFF"/>
        </w:rPr>
        <w:t>三、政府性基金预算财政拨款支出情况说明</w:t>
      </w:r>
    </w:p>
    <w:p>
      <w:pPr>
        <w:widowControl/>
        <w:shd w:val="clear" w:color="auto" w:fill="FFFFFF"/>
        <w:spacing w:line="560" w:lineRule="atLeast"/>
        <w:ind w:firstLine="640"/>
        <w:jc w:val="left"/>
        <w:rPr>
          <w:rFonts w:ascii="楷体_GB2312" w:hAnsi="微软雅黑" w:eastAsia="楷体_GB2312" w:cs="楷体_GB2312"/>
          <w:color w:val="333333"/>
          <w:kern w:val="0"/>
          <w:sz w:val="32"/>
          <w:szCs w:val="32"/>
          <w:shd w:val="clear" w:color="auto" w:fill="FFFFFF"/>
        </w:rPr>
      </w:pPr>
      <w:r>
        <w:rPr>
          <w:rFonts w:hint="eastAsia" w:ascii="楷体_GB2312" w:hAnsi="微软雅黑" w:eastAsia="楷体_GB2312" w:cs="楷体_GB2312"/>
          <w:color w:val="333333"/>
          <w:kern w:val="0"/>
          <w:sz w:val="32"/>
          <w:szCs w:val="32"/>
          <w:shd w:val="clear" w:color="auto" w:fill="FFFFFF"/>
        </w:rPr>
        <w:t>四、财政拨款“三公”经费预算情况说明</w:t>
      </w:r>
    </w:p>
    <w:p>
      <w:pPr>
        <w:widowControl/>
        <w:spacing w:line="560" w:lineRule="atLeast"/>
        <w:jc w:val="left"/>
        <w:rPr>
          <w:rFonts w:hint="eastAsia" w:ascii="黑体" w:hAnsi="黑体" w:eastAsia="黑体" w:cs="黑体"/>
          <w:b/>
          <w:kern w:val="0"/>
          <w:sz w:val="32"/>
          <w:szCs w:val="32"/>
          <w:shd w:val="clear" w:color="auto" w:fill="FFFFFF"/>
        </w:rPr>
      </w:pPr>
      <w:r>
        <w:rPr>
          <w:rFonts w:hint="eastAsia" w:ascii="黑体" w:hAnsi="黑体" w:eastAsia="黑体" w:cs="黑体"/>
          <w:b/>
          <w:kern w:val="0"/>
          <w:sz w:val="32"/>
          <w:szCs w:val="32"/>
          <w:shd w:val="clear" w:color="auto" w:fill="FFFFFF"/>
        </w:rPr>
        <w:t>第三部分  其他公开事项说明</w:t>
      </w:r>
    </w:p>
    <w:p>
      <w:pPr>
        <w:widowControl/>
        <w:shd w:val="clear" w:color="auto" w:fill="FFFFFF"/>
        <w:spacing w:line="560" w:lineRule="atLeast"/>
        <w:ind w:firstLine="640"/>
        <w:jc w:val="left"/>
        <w:rPr>
          <w:rFonts w:ascii="微软雅黑" w:hAnsi="微软雅黑" w:eastAsia="微软雅黑" w:cs="微软雅黑"/>
          <w:color w:val="333333"/>
          <w:sz w:val="24"/>
        </w:rPr>
      </w:pPr>
      <w:r>
        <w:rPr>
          <w:rFonts w:hint="eastAsia" w:ascii="楷体_GB2312" w:hAnsi="微软雅黑" w:eastAsia="楷体_GB2312" w:cs="楷体_GB2312"/>
          <w:color w:val="333333"/>
          <w:kern w:val="0"/>
          <w:sz w:val="32"/>
          <w:szCs w:val="32"/>
          <w:shd w:val="clear" w:color="auto" w:fill="FFFFFF"/>
        </w:rPr>
        <w:t>一、政府采购预算情况说明</w:t>
      </w:r>
    </w:p>
    <w:p>
      <w:pPr>
        <w:widowControl/>
        <w:shd w:val="clear" w:color="auto" w:fill="FFFFFF"/>
        <w:spacing w:line="560" w:lineRule="atLeast"/>
        <w:ind w:firstLine="640"/>
        <w:jc w:val="left"/>
        <w:rPr>
          <w:rFonts w:ascii="微软雅黑" w:hAnsi="微软雅黑" w:eastAsia="微软雅黑" w:cs="微软雅黑"/>
          <w:color w:val="333333"/>
          <w:sz w:val="24"/>
        </w:rPr>
      </w:pPr>
      <w:r>
        <w:rPr>
          <w:rFonts w:hint="eastAsia" w:ascii="楷体_GB2312" w:hAnsi="微软雅黑" w:eastAsia="楷体_GB2312" w:cs="楷体_GB2312"/>
          <w:color w:val="333333"/>
          <w:kern w:val="0"/>
          <w:sz w:val="32"/>
          <w:szCs w:val="32"/>
          <w:shd w:val="clear" w:color="auto" w:fill="FFFFFF"/>
        </w:rPr>
        <w:t>二、国有资产占有使用情况说明</w:t>
      </w:r>
    </w:p>
    <w:p>
      <w:pPr>
        <w:widowControl/>
        <w:shd w:val="clear" w:color="auto" w:fill="FFFFFF"/>
        <w:spacing w:line="560" w:lineRule="atLeast"/>
        <w:ind w:firstLine="640"/>
        <w:jc w:val="left"/>
        <w:rPr>
          <w:rFonts w:ascii="微软雅黑" w:hAnsi="微软雅黑" w:eastAsia="微软雅黑" w:cs="微软雅黑"/>
          <w:color w:val="333333"/>
          <w:sz w:val="24"/>
        </w:rPr>
      </w:pPr>
      <w:r>
        <w:rPr>
          <w:rFonts w:hint="eastAsia" w:ascii="楷体_GB2312" w:hAnsi="微软雅黑" w:eastAsia="楷体_GB2312" w:cs="楷体_GB2312"/>
          <w:color w:val="333333"/>
          <w:kern w:val="0"/>
          <w:sz w:val="32"/>
          <w:szCs w:val="32"/>
          <w:shd w:val="clear" w:color="auto" w:fill="FFFFFF"/>
        </w:rPr>
        <w:t>三、绩效目标设置情况说明</w:t>
      </w:r>
    </w:p>
    <w:p>
      <w:pPr>
        <w:widowControl/>
        <w:spacing w:line="560" w:lineRule="atLeast"/>
        <w:jc w:val="left"/>
        <w:rPr>
          <w:rFonts w:hint="eastAsia" w:ascii="黑体" w:hAnsi="黑体" w:eastAsia="黑体" w:cs="黑体"/>
          <w:b/>
          <w:kern w:val="0"/>
          <w:sz w:val="32"/>
          <w:szCs w:val="32"/>
          <w:shd w:val="clear" w:color="auto" w:fill="FFFFFF"/>
        </w:rPr>
      </w:pPr>
      <w:r>
        <w:rPr>
          <w:rFonts w:hint="eastAsia" w:ascii="黑体" w:hAnsi="黑体" w:eastAsia="黑体" w:cs="黑体"/>
          <w:b/>
          <w:kern w:val="0"/>
          <w:sz w:val="32"/>
          <w:szCs w:val="32"/>
          <w:shd w:val="clear" w:color="auto" w:fill="FFFFFF"/>
        </w:rPr>
        <w:t>第四部分  名词解释</w:t>
      </w:r>
    </w:p>
    <w:p>
      <w:pPr>
        <w:widowControl/>
        <w:spacing w:line="560" w:lineRule="atLeast"/>
        <w:jc w:val="both"/>
        <w:rPr>
          <w:rFonts w:hint="eastAsia" w:ascii="黑体" w:hAnsi="黑体" w:eastAsia="黑体" w:cs="黑体"/>
          <w:b/>
          <w:kern w:val="0"/>
          <w:sz w:val="32"/>
          <w:szCs w:val="32"/>
          <w:shd w:val="clear" w:color="auto" w:fill="FFFFFF"/>
        </w:rPr>
      </w:pPr>
      <w:r>
        <w:rPr>
          <w:rFonts w:hint="eastAsia" w:ascii="黑体" w:hAnsi="黑体" w:eastAsia="黑体" w:cs="黑体"/>
          <w:b/>
          <w:kern w:val="0"/>
          <w:sz w:val="32"/>
          <w:szCs w:val="32"/>
          <w:shd w:val="clear" w:color="auto" w:fill="FFFFFF"/>
        </w:rPr>
        <w:t>第五部分  2022年单位预算公开表</w:t>
      </w:r>
    </w:p>
    <w:p>
      <w:pPr>
        <w:widowControl/>
        <w:numPr>
          <w:ilvl w:val="0"/>
          <w:numId w:val="1"/>
        </w:numPr>
        <w:shd w:val="clear" w:color="auto" w:fill="FFFFFF"/>
        <w:spacing w:line="560" w:lineRule="atLeast"/>
        <w:ind w:firstLine="640"/>
        <w:jc w:val="left"/>
        <w:rPr>
          <w:rFonts w:ascii="楷体_GB2312" w:hAnsi="微软雅黑" w:eastAsia="楷体_GB2312" w:cs="楷体_GB2312"/>
          <w:color w:val="333333"/>
          <w:kern w:val="0"/>
          <w:sz w:val="32"/>
          <w:szCs w:val="32"/>
          <w:shd w:val="clear" w:color="auto" w:fill="FFFFFF"/>
        </w:rPr>
      </w:pPr>
      <w:r>
        <w:rPr>
          <w:rFonts w:hint="eastAsia" w:ascii="楷体_GB2312" w:hAnsi="微软雅黑" w:eastAsia="楷体_GB2312" w:cs="楷体_GB2312"/>
          <w:color w:val="333333"/>
          <w:kern w:val="0"/>
          <w:sz w:val="32"/>
          <w:szCs w:val="32"/>
          <w:shd w:val="clear" w:color="auto" w:fill="FFFFFF"/>
        </w:rPr>
        <w:t>收支预算总表</w:t>
      </w:r>
    </w:p>
    <w:p>
      <w:pPr>
        <w:widowControl/>
        <w:shd w:val="clear" w:color="auto" w:fill="FFFFFF"/>
        <w:spacing w:line="560" w:lineRule="atLeast"/>
        <w:ind w:left="640"/>
        <w:jc w:val="left"/>
        <w:rPr>
          <w:rFonts w:ascii="微软雅黑" w:hAnsi="微软雅黑" w:eastAsia="微软雅黑" w:cs="微软雅黑"/>
          <w:color w:val="333333"/>
          <w:sz w:val="24"/>
        </w:rPr>
      </w:pPr>
      <w:r>
        <w:rPr>
          <w:rFonts w:hint="eastAsia" w:ascii="楷体_GB2312" w:hAnsi="微软雅黑" w:eastAsia="楷体_GB2312" w:cs="楷体_GB2312"/>
          <w:color w:val="333333"/>
          <w:kern w:val="0"/>
          <w:sz w:val="32"/>
          <w:szCs w:val="32"/>
          <w:shd w:val="clear" w:color="auto" w:fill="FFFFFF"/>
        </w:rPr>
        <w:t>二、收入预算总表</w:t>
      </w:r>
    </w:p>
    <w:p>
      <w:pPr>
        <w:widowControl/>
        <w:shd w:val="clear" w:color="auto" w:fill="FFFFFF"/>
        <w:spacing w:line="560" w:lineRule="atLeast"/>
        <w:ind w:firstLine="640"/>
        <w:jc w:val="left"/>
        <w:rPr>
          <w:rFonts w:ascii="微软雅黑" w:hAnsi="微软雅黑" w:eastAsia="微软雅黑" w:cs="微软雅黑"/>
          <w:color w:val="333333"/>
          <w:sz w:val="24"/>
        </w:rPr>
      </w:pPr>
      <w:r>
        <w:rPr>
          <w:rFonts w:hint="eastAsia" w:ascii="楷体_GB2312" w:hAnsi="微软雅黑" w:eastAsia="楷体_GB2312" w:cs="楷体_GB2312"/>
          <w:color w:val="333333"/>
          <w:kern w:val="0"/>
          <w:sz w:val="32"/>
          <w:szCs w:val="32"/>
          <w:shd w:val="clear" w:color="auto" w:fill="FFFFFF"/>
        </w:rPr>
        <w:t>三、支出预算总表</w:t>
      </w:r>
    </w:p>
    <w:p>
      <w:pPr>
        <w:widowControl/>
        <w:shd w:val="clear" w:color="auto" w:fill="FFFFFF"/>
        <w:spacing w:line="560" w:lineRule="atLeast"/>
        <w:ind w:firstLine="640"/>
        <w:jc w:val="left"/>
        <w:rPr>
          <w:rFonts w:ascii="微软雅黑" w:hAnsi="微软雅黑" w:eastAsia="微软雅黑" w:cs="微软雅黑"/>
          <w:color w:val="333333"/>
          <w:sz w:val="24"/>
        </w:rPr>
      </w:pPr>
      <w:r>
        <w:rPr>
          <w:rFonts w:hint="eastAsia" w:ascii="楷体_GB2312" w:hAnsi="微软雅黑" w:eastAsia="楷体_GB2312" w:cs="楷体_GB2312"/>
          <w:color w:val="333333"/>
          <w:kern w:val="0"/>
          <w:sz w:val="32"/>
          <w:szCs w:val="32"/>
          <w:shd w:val="clear" w:color="auto" w:fill="FFFFFF"/>
        </w:rPr>
        <w:t>四、财政拨款预算总表</w:t>
      </w:r>
    </w:p>
    <w:p>
      <w:pPr>
        <w:widowControl/>
        <w:shd w:val="clear" w:color="auto" w:fill="FFFFFF"/>
        <w:spacing w:line="560" w:lineRule="atLeast"/>
        <w:ind w:firstLine="640"/>
        <w:jc w:val="left"/>
        <w:rPr>
          <w:rFonts w:ascii="微软雅黑" w:hAnsi="微软雅黑" w:eastAsia="微软雅黑" w:cs="微软雅黑"/>
          <w:color w:val="333333"/>
          <w:sz w:val="24"/>
        </w:rPr>
      </w:pPr>
      <w:r>
        <w:rPr>
          <w:rFonts w:hint="eastAsia" w:ascii="楷体_GB2312" w:hAnsi="微软雅黑" w:eastAsia="楷体_GB2312" w:cs="楷体_GB2312"/>
          <w:color w:val="333333"/>
          <w:kern w:val="0"/>
          <w:sz w:val="32"/>
          <w:szCs w:val="32"/>
          <w:shd w:val="clear" w:color="auto" w:fill="FFFFFF"/>
        </w:rPr>
        <w:t>五、一般公共预算支出表</w:t>
      </w:r>
    </w:p>
    <w:p>
      <w:pPr>
        <w:widowControl/>
        <w:shd w:val="clear" w:color="auto" w:fill="FFFFFF"/>
        <w:spacing w:line="560" w:lineRule="atLeast"/>
        <w:ind w:firstLine="640"/>
        <w:jc w:val="left"/>
        <w:rPr>
          <w:rFonts w:ascii="微软雅黑" w:hAnsi="微软雅黑" w:eastAsia="微软雅黑" w:cs="微软雅黑"/>
          <w:color w:val="333333"/>
          <w:sz w:val="24"/>
        </w:rPr>
      </w:pPr>
      <w:r>
        <w:rPr>
          <w:rFonts w:hint="eastAsia" w:ascii="楷体_GB2312" w:hAnsi="微软雅黑" w:eastAsia="楷体_GB2312" w:cs="楷体_GB2312"/>
          <w:color w:val="333333"/>
          <w:kern w:val="0"/>
          <w:sz w:val="32"/>
          <w:szCs w:val="32"/>
          <w:shd w:val="clear" w:color="auto" w:fill="FFFFFF"/>
        </w:rPr>
        <w:t>六、一般公共预算基本支出表</w:t>
      </w:r>
    </w:p>
    <w:p>
      <w:pPr>
        <w:widowControl/>
        <w:shd w:val="clear" w:color="auto" w:fill="FFFFFF"/>
        <w:spacing w:line="560" w:lineRule="atLeast"/>
        <w:ind w:firstLine="640"/>
        <w:jc w:val="left"/>
        <w:rPr>
          <w:rFonts w:ascii="微软雅黑" w:hAnsi="微软雅黑" w:eastAsia="微软雅黑" w:cs="微软雅黑"/>
          <w:color w:val="333333"/>
          <w:sz w:val="24"/>
        </w:rPr>
      </w:pPr>
      <w:r>
        <w:rPr>
          <w:rFonts w:hint="eastAsia" w:ascii="楷体_GB2312" w:hAnsi="微软雅黑" w:eastAsia="楷体_GB2312" w:cs="楷体_GB2312"/>
          <w:color w:val="333333"/>
          <w:kern w:val="0"/>
          <w:sz w:val="32"/>
          <w:szCs w:val="32"/>
          <w:shd w:val="clear" w:color="auto" w:fill="FFFFFF"/>
        </w:rPr>
        <w:t>七、政府性基金预算支出表</w:t>
      </w:r>
    </w:p>
    <w:p>
      <w:pPr>
        <w:widowControl/>
        <w:shd w:val="clear" w:color="auto" w:fill="FFFFFF"/>
        <w:spacing w:line="560" w:lineRule="atLeast"/>
        <w:ind w:firstLine="640"/>
        <w:jc w:val="left"/>
        <w:rPr>
          <w:rFonts w:ascii="楷体_GB2312" w:hAnsi="微软雅黑" w:eastAsia="楷体_GB2312" w:cs="楷体_GB2312"/>
          <w:color w:val="333333"/>
          <w:kern w:val="0"/>
          <w:sz w:val="32"/>
          <w:szCs w:val="32"/>
          <w:shd w:val="clear" w:color="auto" w:fill="FFFFFF"/>
        </w:rPr>
      </w:pPr>
      <w:r>
        <w:rPr>
          <w:rFonts w:hint="eastAsia" w:ascii="楷体_GB2312" w:hAnsi="微软雅黑" w:eastAsia="楷体_GB2312" w:cs="楷体_GB2312"/>
          <w:color w:val="333333"/>
          <w:kern w:val="0"/>
          <w:sz w:val="32"/>
          <w:szCs w:val="32"/>
          <w:shd w:val="clear" w:color="auto" w:fill="FFFFFF"/>
        </w:rPr>
        <w:t>八、国有资本经营预算支出表</w:t>
      </w:r>
    </w:p>
    <w:p>
      <w:pPr>
        <w:widowControl/>
        <w:shd w:val="clear" w:color="auto" w:fill="FFFFFF"/>
        <w:spacing w:line="560" w:lineRule="atLeast"/>
        <w:ind w:firstLine="640"/>
        <w:jc w:val="left"/>
        <w:rPr>
          <w:rFonts w:ascii="楷体_GB2312" w:hAnsi="微软雅黑" w:eastAsia="楷体_GB2312" w:cs="楷体_GB2312"/>
          <w:color w:val="333333"/>
          <w:kern w:val="0"/>
          <w:sz w:val="32"/>
          <w:szCs w:val="32"/>
          <w:shd w:val="clear" w:color="auto" w:fill="FFFFFF"/>
        </w:rPr>
      </w:pPr>
      <w:r>
        <w:rPr>
          <w:rFonts w:hint="eastAsia" w:ascii="楷体_GB2312" w:hAnsi="微软雅黑" w:eastAsia="楷体_GB2312" w:cs="楷体_GB2312"/>
          <w:color w:val="333333"/>
          <w:kern w:val="0"/>
          <w:sz w:val="32"/>
          <w:szCs w:val="32"/>
          <w:shd w:val="clear" w:color="auto" w:fill="FFFFFF"/>
        </w:rPr>
        <w:t>九、项目支出表</w:t>
      </w:r>
    </w:p>
    <w:p>
      <w:pPr>
        <w:widowControl/>
        <w:shd w:val="clear" w:color="auto" w:fill="FFFFFF"/>
        <w:spacing w:line="560" w:lineRule="atLeast"/>
        <w:ind w:firstLine="640"/>
        <w:jc w:val="left"/>
        <w:rPr>
          <w:rFonts w:ascii="楷体_GB2312" w:hAnsi="微软雅黑" w:eastAsia="楷体_GB2312" w:cs="楷体_GB2312"/>
          <w:color w:val="333333"/>
          <w:kern w:val="0"/>
          <w:sz w:val="32"/>
          <w:szCs w:val="32"/>
          <w:shd w:val="clear" w:color="auto" w:fill="FFFFFF"/>
        </w:rPr>
      </w:pPr>
      <w:r>
        <w:rPr>
          <w:rFonts w:hint="eastAsia" w:ascii="楷体_GB2312" w:hAnsi="微软雅黑" w:eastAsia="楷体_GB2312" w:cs="楷体_GB2312"/>
          <w:color w:val="333333"/>
          <w:kern w:val="0"/>
          <w:sz w:val="32"/>
          <w:szCs w:val="32"/>
          <w:shd w:val="clear" w:color="auto" w:fill="FFFFFF"/>
        </w:rPr>
        <w:t>十、政府采购预算表</w:t>
      </w:r>
      <w:r>
        <w:rPr>
          <w:rFonts w:ascii="楷体_GB2312" w:hAnsi="微软雅黑" w:eastAsia="楷体_GB2312" w:cs="楷体_GB2312"/>
          <w:color w:val="333333"/>
          <w:kern w:val="0"/>
          <w:sz w:val="32"/>
          <w:szCs w:val="32"/>
          <w:shd w:val="clear" w:color="auto" w:fill="FFFFFF"/>
        </w:rPr>
        <w:t> </w:t>
      </w:r>
    </w:p>
    <w:p>
      <w:pPr>
        <w:widowControl/>
        <w:shd w:val="clear" w:color="auto" w:fill="FFFFFF"/>
        <w:spacing w:line="560" w:lineRule="atLeast"/>
        <w:ind w:firstLine="640"/>
        <w:jc w:val="left"/>
        <w:rPr>
          <w:rFonts w:ascii="楷体_GB2312" w:hAnsi="微软雅黑" w:eastAsia="楷体_GB2312" w:cs="楷体_GB2312"/>
          <w:color w:val="333333"/>
          <w:kern w:val="0"/>
          <w:sz w:val="32"/>
          <w:szCs w:val="32"/>
          <w:shd w:val="clear" w:color="auto" w:fill="FFFFFF"/>
        </w:rPr>
      </w:pPr>
      <w:r>
        <w:rPr>
          <w:rFonts w:hint="eastAsia" w:ascii="楷体_GB2312" w:hAnsi="微软雅黑" w:eastAsia="楷体_GB2312" w:cs="楷体_GB2312"/>
          <w:color w:val="333333"/>
          <w:kern w:val="0"/>
          <w:sz w:val="32"/>
          <w:szCs w:val="32"/>
          <w:shd w:val="clear" w:color="auto" w:fill="FFFFFF"/>
        </w:rPr>
        <w:t>十一、项目支出绩效表</w:t>
      </w:r>
    </w:p>
    <w:p>
      <w:pPr>
        <w:widowControl/>
        <w:shd w:val="clear" w:color="auto" w:fill="FFFFFF"/>
        <w:spacing w:line="560" w:lineRule="atLeast"/>
        <w:ind w:firstLine="640"/>
        <w:jc w:val="center"/>
        <w:rPr>
          <w:rFonts w:ascii="微软雅黑" w:hAnsi="微软雅黑" w:eastAsia="微软雅黑" w:cs="微软雅黑"/>
          <w:b/>
          <w:kern w:val="0"/>
          <w:sz w:val="24"/>
          <w:shd w:val="clear" w:color="auto" w:fill="FFFFFF"/>
        </w:rPr>
      </w:pPr>
    </w:p>
    <w:p>
      <w:pPr>
        <w:widowControl/>
        <w:spacing w:line="560" w:lineRule="atLeast"/>
        <w:ind w:firstLine="640"/>
        <w:jc w:val="center"/>
        <w:rPr>
          <w:rFonts w:hint="eastAsia" w:ascii="黑体" w:hAnsi="黑体" w:eastAsia="黑体" w:cs="黑体"/>
          <w:b/>
          <w:kern w:val="0"/>
          <w:sz w:val="36"/>
          <w:szCs w:val="36"/>
          <w:shd w:val="clear" w:color="auto" w:fill="FFFFFF"/>
        </w:rPr>
      </w:pPr>
      <w:r>
        <w:rPr>
          <w:rFonts w:hint="eastAsia" w:ascii="黑体" w:hAnsi="黑体" w:eastAsia="黑体" w:cs="黑体"/>
          <w:b/>
          <w:kern w:val="0"/>
          <w:sz w:val="36"/>
          <w:szCs w:val="36"/>
          <w:shd w:val="clear" w:color="auto" w:fill="FFFFFF"/>
        </w:rPr>
        <w:t>第一部分 </w:t>
      </w:r>
      <w:r>
        <w:rPr>
          <w:rFonts w:hint="eastAsia" w:ascii="黑体" w:hAnsi="黑体" w:eastAsia="黑体" w:cs="黑体"/>
          <w:b/>
          <w:kern w:val="0"/>
          <w:sz w:val="36"/>
          <w:szCs w:val="36"/>
          <w:shd w:val="clear" w:color="auto" w:fill="FFFFFF"/>
          <w:lang w:val="en-US" w:eastAsia="zh-CN"/>
        </w:rPr>
        <w:t xml:space="preserve">   </w:t>
      </w:r>
      <w:r>
        <w:rPr>
          <w:rFonts w:hint="eastAsia" w:ascii="黑体" w:hAnsi="黑体" w:eastAsia="黑体" w:cs="黑体"/>
          <w:b/>
          <w:kern w:val="0"/>
          <w:sz w:val="36"/>
          <w:szCs w:val="36"/>
          <w:shd w:val="clear" w:color="auto" w:fill="FFFFFF"/>
        </w:rPr>
        <w:t> 单位概况</w:t>
      </w:r>
    </w:p>
    <w:p>
      <w:pPr>
        <w:widowControl/>
        <w:spacing w:line="560" w:lineRule="atLeast"/>
        <w:ind w:firstLine="640"/>
        <w:jc w:val="center"/>
        <w:rPr>
          <w:rFonts w:hint="eastAsia" w:ascii="黑体" w:hAnsi="黑体" w:eastAsia="黑体" w:cs="黑体"/>
          <w:b/>
          <w:kern w:val="0"/>
          <w:sz w:val="36"/>
          <w:szCs w:val="36"/>
          <w:shd w:val="clear" w:color="auto" w:fill="FFFFFF"/>
        </w:rPr>
      </w:pPr>
    </w:p>
    <w:p>
      <w:pPr>
        <w:widowControl/>
        <w:spacing w:line="560" w:lineRule="atLeast"/>
        <w:ind w:firstLine="640"/>
        <w:jc w:val="left"/>
        <w:rPr>
          <w:rFonts w:hint="eastAsia" w:ascii="黑体" w:hAnsi="黑体" w:eastAsia="黑体" w:cs="黑体"/>
          <w:b/>
          <w:sz w:val="32"/>
          <w:szCs w:val="32"/>
        </w:rPr>
      </w:pPr>
      <w:r>
        <w:rPr>
          <w:rFonts w:hint="eastAsia" w:ascii="黑体" w:hAnsi="黑体" w:eastAsia="黑体" w:cs="黑体"/>
          <w:b/>
          <w:kern w:val="0"/>
          <w:sz w:val="32"/>
          <w:szCs w:val="32"/>
          <w:shd w:val="clear" w:color="auto" w:fill="FFFFFF"/>
        </w:rPr>
        <w:t>一、主要职能</w:t>
      </w:r>
    </w:p>
    <w:p>
      <w:pPr>
        <w:widowControl/>
        <w:adjustRightInd w:val="0"/>
        <w:snapToGrid w:val="0"/>
        <w:spacing w:line="640" w:lineRule="exact"/>
        <w:ind w:firstLine="960" w:firstLineChars="300"/>
        <w:jc w:val="left"/>
        <w:textAlignment w:val="center"/>
        <w:rPr>
          <w:rFonts w:hint="eastAsia" w:ascii="楷体" w:hAnsi="楷体" w:eastAsia="楷体" w:cs="仿宋"/>
          <w:sz w:val="32"/>
          <w:szCs w:val="32"/>
        </w:rPr>
      </w:pPr>
      <w:r>
        <w:rPr>
          <w:rFonts w:hint="eastAsia" w:ascii="楷体" w:hAnsi="楷体" w:eastAsia="楷体" w:cs="仿宋"/>
          <w:sz w:val="32"/>
          <w:szCs w:val="32"/>
        </w:rPr>
        <w:t>（一）单位职能</w:t>
      </w:r>
    </w:p>
    <w:p>
      <w:pPr>
        <w:widowControl/>
        <w:spacing w:line="56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内蒙古商贸职业学院成立于2003年5月，是内蒙古自治区人民政府举办、自治区教育厅直属的全日制公办普通高等职业院校。</w:t>
      </w:r>
    </w:p>
    <w:p>
      <w:pPr>
        <w:widowControl/>
        <w:adjustRightInd w:val="0"/>
        <w:snapToGrid w:val="0"/>
        <w:spacing w:line="640" w:lineRule="exact"/>
        <w:ind w:firstLine="960" w:firstLineChars="300"/>
        <w:jc w:val="left"/>
        <w:textAlignment w:val="center"/>
        <w:rPr>
          <w:rFonts w:hint="eastAsia" w:ascii="楷体" w:hAnsi="楷体" w:eastAsia="楷体" w:cs="仿宋"/>
          <w:sz w:val="32"/>
          <w:szCs w:val="32"/>
        </w:rPr>
      </w:pPr>
      <w:r>
        <w:rPr>
          <w:rFonts w:hint="eastAsia" w:ascii="楷体" w:hAnsi="楷体" w:eastAsia="楷体" w:cs="仿宋"/>
          <w:sz w:val="32"/>
          <w:szCs w:val="32"/>
          <w:lang w:eastAsia="zh-CN"/>
        </w:rPr>
        <w:t>（二）</w:t>
      </w:r>
      <w:r>
        <w:rPr>
          <w:rFonts w:hint="eastAsia" w:ascii="楷体" w:hAnsi="楷体" w:eastAsia="楷体" w:cs="仿宋"/>
          <w:sz w:val="32"/>
          <w:szCs w:val="32"/>
        </w:rPr>
        <w:t>单位主要职责</w:t>
      </w:r>
    </w:p>
    <w:p>
      <w:pPr>
        <w:snapToGrid w:val="0"/>
        <w:spacing w:line="600"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学院成立以来，秉承“勤学、求精、诚信、创新”的校训精神，坚持面向市场、服务发展、促进就业的办学方向和产教融合、校企合作的办学模式。2018年获批为自治区首批示范性高等职业院校，2019年获批为国家优质专科高等职业院校、教育部首批现代学徒制试点院校。学院由原内蒙古商业学校（1952年建校）、原内蒙古粮食学校（1956年建校）和原内蒙古工业美术设计学校（1955年建校）先后合并组建而成，近70年来，累计培养了7万余名高素质技术技能人才，为自治区经济社会发展提供了有力的人力资源支撑。学院构建了商贸流通、财会金融、旅游管理、信息技术、餐饮食品、艺术设计等6大专业群，形成了以商科类专业为主体、农畜产品加工类专业和艺术设计类专业为两翼的专业结构，现开设43个专业，其中，有国家级骨干专业4个，国家1+X证书试点专业11个，教育部现代学徒制试点专业4个，国际合作办学专业1个。近3年来新生报到率、毕业生满意度、用人单位满意度均在90%以上。</w:t>
      </w:r>
    </w:p>
    <w:p>
      <w:pPr>
        <w:widowControl/>
        <w:spacing w:line="560" w:lineRule="atLeast"/>
        <w:ind w:firstLine="640"/>
        <w:jc w:val="left"/>
        <w:rPr>
          <w:rFonts w:hint="eastAsia" w:ascii="黑体" w:hAnsi="黑体" w:eastAsia="黑体" w:cs="黑体"/>
          <w:b/>
          <w:kern w:val="0"/>
          <w:sz w:val="32"/>
          <w:szCs w:val="32"/>
          <w:shd w:val="clear" w:color="auto" w:fill="FFFFFF"/>
        </w:rPr>
      </w:pPr>
      <w:r>
        <w:rPr>
          <w:rFonts w:hint="eastAsia" w:ascii="黑体" w:hAnsi="黑体" w:eastAsia="黑体" w:cs="黑体"/>
          <w:b/>
          <w:kern w:val="0"/>
          <w:sz w:val="32"/>
          <w:szCs w:val="32"/>
          <w:shd w:val="clear" w:color="auto" w:fill="FFFFFF"/>
        </w:rPr>
        <w:t>二、机构设置及预算单位情况</w:t>
      </w:r>
    </w:p>
    <w:p>
      <w:pPr>
        <w:widowControl/>
        <w:spacing w:line="560" w:lineRule="atLeas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单位机构设置1个，隶属于教育厅，是教育厅的二级预算单位，属于独立核算的公益二类事业单位。</w:t>
      </w:r>
    </w:p>
    <w:p>
      <w:pPr>
        <w:widowControl/>
        <w:spacing w:line="54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2022年自治区编办核定人员编制共600人。截止2021年10月底，实有在职人数474 人，离休人员2人，退休人员235人，长期聘用人员117人。</w:t>
      </w:r>
    </w:p>
    <w:p>
      <w:pPr>
        <w:widowControl/>
        <w:spacing w:line="540" w:lineRule="atLeast"/>
        <w:ind w:firstLine="640"/>
        <w:jc w:val="left"/>
        <w:rPr>
          <w:rFonts w:hint="eastAsia" w:ascii="仿宋" w:hAnsi="仿宋" w:eastAsia="仿宋" w:cs="仿宋"/>
          <w:kern w:val="0"/>
          <w:sz w:val="32"/>
          <w:szCs w:val="32"/>
          <w:shd w:val="clear" w:color="auto" w:fill="FFFFFF"/>
        </w:rPr>
      </w:pPr>
    </w:p>
    <w:p>
      <w:pPr>
        <w:widowControl/>
        <w:spacing w:line="560" w:lineRule="atLeast"/>
        <w:ind w:firstLine="640"/>
        <w:jc w:val="center"/>
        <w:rPr>
          <w:rFonts w:hint="eastAsia" w:ascii="黑体" w:hAnsi="黑体" w:eastAsia="黑体" w:cs="黑体"/>
          <w:b/>
          <w:kern w:val="0"/>
          <w:sz w:val="36"/>
          <w:szCs w:val="36"/>
          <w:shd w:val="clear" w:color="auto" w:fill="FFFFFF"/>
        </w:rPr>
      </w:pPr>
      <w:r>
        <w:rPr>
          <w:rFonts w:hint="eastAsia" w:ascii="黑体" w:hAnsi="黑体" w:eastAsia="黑体" w:cs="黑体"/>
          <w:b/>
          <w:kern w:val="0"/>
          <w:sz w:val="36"/>
          <w:szCs w:val="36"/>
          <w:shd w:val="clear" w:color="auto" w:fill="FFFFFF"/>
        </w:rPr>
        <w:t>第二部分   2022年单位预算安排情况说明</w:t>
      </w:r>
    </w:p>
    <w:p>
      <w:pPr>
        <w:widowControl/>
        <w:spacing w:line="560" w:lineRule="atLeast"/>
        <w:ind w:firstLine="640"/>
        <w:jc w:val="center"/>
        <w:rPr>
          <w:rFonts w:hint="eastAsia" w:ascii="黑体" w:hAnsi="黑体" w:eastAsia="黑体" w:cs="黑体"/>
          <w:b/>
          <w:kern w:val="0"/>
          <w:sz w:val="21"/>
          <w:szCs w:val="21"/>
          <w:shd w:val="clear" w:color="auto" w:fill="FFFFFF"/>
        </w:rPr>
      </w:pPr>
    </w:p>
    <w:p>
      <w:pPr>
        <w:widowControl/>
        <w:spacing w:line="560" w:lineRule="atLeast"/>
        <w:ind w:firstLine="640"/>
        <w:jc w:val="left"/>
        <w:rPr>
          <w:rFonts w:hint="eastAsia" w:ascii="黑体" w:hAnsi="黑体" w:eastAsia="黑体" w:cs="黑体"/>
          <w:b/>
          <w:kern w:val="0"/>
          <w:sz w:val="32"/>
          <w:szCs w:val="32"/>
          <w:shd w:val="clear" w:color="auto" w:fill="FFFFFF"/>
        </w:rPr>
      </w:pPr>
      <w:r>
        <w:rPr>
          <w:rFonts w:hint="eastAsia" w:ascii="黑体" w:hAnsi="黑体" w:eastAsia="黑体" w:cs="黑体"/>
          <w:b/>
          <w:kern w:val="0"/>
          <w:sz w:val="32"/>
          <w:szCs w:val="32"/>
          <w:shd w:val="clear" w:color="auto" w:fill="FFFFFF"/>
        </w:rPr>
        <w:t> 一、预算收支总体情况说明</w:t>
      </w:r>
    </w:p>
    <w:p>
      <w:pPr>
        <w:widowControl/>
        <w:shd w:val="clear"/>
        <w:spacing w:line="64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2022年单位预算收入</w:t>
      </w:r>
      <w:r>
        <w:rPr>
          <w:rFonts w:hint="eastAsia" w:ascii="仿宋" w:hAnsi="仿宋" w:eastAsia="仿宋" w:cs="仿宋"/>
          <w:kern w:val="0"/>
          <w:sz w:val="32"/>
          <w:szCs w:val="32"/>
          <w:shd w:val="clear" w:color="auto" w:fill="FFFFFF"/>
          <w:lang w:eastAsia="zh-CN"/>
        </w:rPr>
        <w:t>共计</w:t>
      </w:r>
      <w:r>
        <w:rPr>
          <w:rFonts w:hint="eastAsia" w:ascii="仿宋" w:hAnsi="仿宋" w:eastAsia="仿宋" w:cs="仿宋"/>
          <w:kern w:val="0"/>
          <w:sz w:val="32"/>
          <w:szCs w:val="32"/>
          <w:shd w:val="clear" w:color="auto" w:fill="FFFFFF"/>
        </w:rPr>
        <w:t>27656.91万元，其中本年预算收入21931万元，比上年</w:t>
      </w:r>
      <w:r>
        <w:rPr>
          <w:rFonts w:hint="eastAsia" w:ascii="仿宋" w:hAnsi="仿宋" w:eastAsia="仿宋" w:cs="仿宋"/>
          <w:color w:val="auto"/>
          <w:kern w:val="0"/>
          <w:sz w:val="32"/>
          <w:szCs w:val="32"/>
          <w:shd w:val="clear" w:color="auto" w:fill="FFFFFF"/>
        </w:rPr>
        <w:t>增加72.8万元</w:t>
      </w:r>
      <w:r>
        <w:rPr>
          <w:rFonts w:hint="eastAsia" w:ascii="仿宋" w:hAnsi="仿宋" w:eastAsia="仿宋" w:cs="仿宋"/>
          <w:color w:val="auto"/>
          <w:kern w:val="0"/>
          <w:sz w:val="32"/>
          <w:szCs w:val="32"/>
          <w:shd w:val="clear" w:color="auto" w:fill="FFFFFF"/>
          <w:lang w:eastAsia="zh-CN"/>
        </w:rPr>
        <w:t>（主要</w:t>
      </w:r>
      <w:r>
        <w:rPr>
          <w:rFonts w:hint="eastAsia" w:ascii="仿宋" w:hAnsi="仿宋" w:eastAsia="仿宋" w:cs="仿宋"/>
          <w:color w:val="auto"/>
          <w:kern w:val="0"/>
          <w:sz w:val="32"/>
          <w:szCs w:val="32"/>
          <w:shd w:val="clear" w:color="auto" w:fill="FFFFFF"/>
        </w:rPr>
        <w:t>原因</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一是2022年年初提前下达财政专项资金较2021年增加428.71万元；二是2022年在校生人数较2021年减少，导致学费</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住宿费等财政专户管理资金收入预算减少315.91万元；三是2022年其他收入较2021年减少40万元</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kern w:val="0"/>
          <w:sz w:val="32"/>
          <w:szCs w:val="32"/>
          <w:shd w:val="clear" w:color="auto" w:fill="FFFFFF"/>
        </w:rPr>
        <w:t>上年结转结余</w:t>
      </w:r>
      <w:r>
        <w:rPr>
          <w:rFonts w:hint="eastAsia" w:ascii="仿宋" w:hAnsi="仿宋" w:eastAsia="仿宋" w:cs="仿宋"/>
          <w:kern w:val="0"/>
          <w:sz w:val="32"/>
          <w:szCs w:val="32"/>
          <w:shd w:val="clear" w:color="auto" w:fill="FFFFFF"/>
          <w:lang w:eastAsia="zh-CN"/>
        </w:rPr>
        <w:t>资金</w:t>
      </w:r>
      <w:r>
        <w:rPr>
          <w:rFonts w:hint="eastAsia" w:ascii="仿宋" w:hAnsi="仿宋" w:eastAsia="仿宋" w:cs="仿宋"/>
          <w:kern w:val="0"/>
          <w:sz w:val="32"/>
          <w:szCs w:val="32"/>
          <w:shd w:val="clear" w:color="auto" w:fill="FFFFFF"/>
        </w:rPr>
        <w:t>5725.91万元</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其中财政专项资金上年结转725.91万元，单位自有资金结转5000万元</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w:t>
      </w:r>
    </w:p>
    <w:p>
      <w:pPr>
        <w:widowControl/>
        <w:spacing w:line="64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2022年单位预算支出共计27656.91万元，比上年增加444.28万元</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其中基本支出17935万元（人员经费12746.1万元，公用经费5188.9万元</w:t>
      </w:r>
      <w:r>
        <w:rPr>
          <w:rFonts w:hint="eastAsia" w:ascii="仿宋" w:hAnsi="仿宋" w:eastAsia="仿宋" w:cs="仿宋"/>
          <w:kern w:val="0"/>
          <w:sz w:val="32"/>
          <w:szCs w:val="32"/>
          <w:shd w:val="clear" w:color="auto" w:fill="FFFFFF"/>
        </w:rPr>
        <w:t>），比上年基本支出18717.20万元减少782.20万元</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主要原因</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是2022年学院提质培优任务建设关键年，相关支出全部作为项目支出列入预算</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项目支出9721.91万元，比上年 8495.43万元增加1226.48万元</w:t>
      </w:r>
      <w:r>
        <w:rPr>
          <w:rFonts w:hint="eastAsia" w:ascii="仿宋" w:hAnsi="仿宋" w:eastAsia="仿宋" w:cs="仿宋"/>
          <w:kern w:val="0"/>
          <w:sz w:val="32"/>
          <w:szCs w:val="32"/>
          <w:shd w:val="clear" w:color="auto" w:fill="FFFFFF"/>
          <w:lang w:eastAsia="zh-CN"/>
        </w:rPr>
        <w:t>（主要</w:t>
      </w:r>
      <w:r>
        <w:rPr>
          <w:rFonts w:hint="eastAsia" w:ascii="仿宋" w:hAnsi="仿宋" w:eastAsia="仿宋" w:cs="仿宋"/>
          <w:kern w:val="0"/>
          <w:sz w:val="32"/>
          <w:szCs w:val="32"/>
          <w:shd w:val="clear" w:color="auto" w:fill="FFFFFF"/>
        </w:rPr>
        <w:t>原因</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一是2022年年初下达的财政专项资金较2021年增加446万元；二是2022年提质培优建设任务进入关键期以及单位实施体育馆和学生公寓修缮改造，单位自有资金投入加大，综合较上年预算增加780.48万元</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w:t>
      </w:r>
    </w:p>
    <w:p>
      <w:pPr>
        <w:widowControl/>
        <w:adjustRightInd w:val="0"/>
        <w:snapToGrid w:val="0"/>
        <w:spacing w:line="640" w:lineRule="exact"/>
        <w:ind w:firstLine="640" w:firstLineChars="200"/>
        <w:jc w:val="left"/>
        <w:textAlignment w:val="center"/>
        <w:rPr>
          <w:rFonts w:hint="eastAsia" w:ascii="楷体" w:hAnsi="楷体" w:eastAsia="楷体" w:cs="仿宋"/>
          <w:sz w:val="32"/>
          <w:szCs w:val="32"/>
          <w:lang w:eastAsia="zh-CN"/>
        </w:rPr>
      </w:pPr>
      <w:r>
        <w:rPr>
          <w:rFonts w:hint="eastAsia" w:ascii="楷体" w:hAnsi="楷体" w:eastAsia="楷体" w:cs="仿宋"/>
          <w:sz w:val="32"/>
          <w:szCs w:val="32"/>
          <w:lang w:eastAsia="zh-CN"/>
        </w:rPr>
        <w:t>（一）预算收入情况说明</w:t>
      </w:r>
    </w:p>
    <w:p>
      <w:pPr>
        <w:widowControl/>
        <w:spacing w:line="640" w:lineRule="atLeas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2022年单位当年预算收入21931万元，比上年21858.2万元增加72.8万元。其中财政拨款 16065.91万元，占当年预算收入的73.26%，比上年15637.2万元增加了428.71万元，增幅2.74%；财政专户管理资金收入5865.09万元，占当年预算收入26.74%，比上年6181万元，减少315.91万元，减幅5.11%。</w:t>
      </w:r>
    </w:p>
    <w:p>
      <w:pPr>
        <w:widowControl/>
        <w:spacing w:line="64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2022年上年结转结余资金5725.91万元，比上年增加371.48万元，其中财政资金结转725.91万元，比上年增加571.48万元；单位自有资金结转5000万元，比上年减少200万元。</w:t>
      </w:r>
    </w:p>
    <w:p>
      <w:pPr>
        <w:widowControl/>
        <w:adjustRightInd w:val="0"/>
        <w:snapToGrid w:val="0"/>
        <w:spacing w:line="640" w:lineRule="exact"/>
        <w:ind w:firstLine="640" w:firstLineChars="200"/>
        <w:jc w:val="left"/>
        <w:textAlignment w:val="center"/>
        <w:rPr>
          <w:rFonts w:hint="eastAsia" w:ascii="楷体" w:hAnsi="楷体" w:eastAsia="楷体" w:cs="仿宋"/>
          <w:sz w:val="32"/>
          <w:szCs w:val="32"/>
          <w:lang w:eastAsia="zh-CN"/>
        </w:rPr>
      </w:pPr>
      <w:r>
        <w:rPr>
          <w:rFonts w:hint="eastAsia" w:ascii="楷体" w:hAnsi="楷体" w:eastAsia="楷体" w:cs="仿宋"/>
          <w:sz w:val="32"/>
          <w:szCs w:val="32"/>
          <w:lang w:eastAsia="zh-CN"/>
        </w:rPr>
        <w:t>（二）预算支出情况说明</w:t>
      </w:r>
    </w:p>
    <w:p>
      <w:pPr>
        <w:widowControl/>
        <w:spacing w:line="640" w:lineRule="atLeas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2022年单位预算支出共计27656.91万元，其中基本支出17935万元、项目支出9721.91万元。</w:t>
      </w:r>
    </w:p>
    <w:p>
      <w:pPr>
        <w:widowControl/>
        <w:spacing w:line="640" w:lineRule="atLeas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1、2022年单位基本支出预算情况</w:t>
      </w:r>
    </w:p>
    <w:p>
      <w:pPr>
        <w:widowControl/>
        <w:spacing w:line="64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2022年单位基本支出预算17935万元，其中人员经</w:t>
      </w:r>
      <w:r>
        <w:rPr>
          <w:rFonts w:hint="eastAsia" w:ascii="仿宋" w:hAnsi="仿宋" w:eastAsia="仿宋" w:cs="仿宋"/>
          <w:kern w:val="0"/>
          <w:sz w:val="32"/>
          <w:szCs w:val="32"/>
          <w:shd w:val="clear" w:color="auto" w:fill="FFFFFF"/>
          <w:lang w:eastAsia="zh-CN"/>
        </w:rPr>
        <w:t>费</w:t>
      </w:r>
      <w:r>
        <w:rPr>
          <w:rFonts w:hint="eastAsia" w:ascii="仿宋" w:hAnsi="仿宋" w:eastAsia="仿宋" w:cs="仿宋"/>
          <w:kern w:val="0"/>
          <w:sz w:val="32"/>
          <w:szCs w:val="32"/>
          <w:shd w:val="clear" w:color="auto" w:fill="FFFFFF"/>
        </w:rPr>
        <w:t>12746.1</w:t>
      </w:r>
      <w:r>
        <w:rPr>
          <w:rFonts w:hint="eastAsia" w:ascii="仿宋" w:hAnsi="仿宋" w:eastAsia="仿宋" w:cs="仿宋"/>
          <w:kern w:val="0"/>
          <w:sz w:val="32"/>
          <w:szCs w:val="32"/>
          <w:shd w:val="clear" w:color="auto" w:fill="FFFFFF"/>
        </w:rPr>
        <w:t>万元，主要是人员工资、津补贴、行政事业单位养老保险、职工基本医疗保险、职业年金、住房公积金、离退休费、助学金等支出。公用经费5188.9</w:t>
      </w:r>
      <w:r>
        <w:rPr>
          <w:rFonts w:hint="eastAsia" w:ascii="仿宋" w:hAnsi="仿宋" w:eastAsia="仿宋" w:cs="仿宋"/>
          <w:kern w:val="0"/>
          <w:sz w:val="32"/>
          <w:szCs w:val="32"/>
          <w:shd w:val="clear" w:color="auto" w:fill="FFFFFF"/>
        </w:rPr>
        <w:t>万元，主要是单位办公费、水费、电费、取暖费、邮电费、差旅费、物业费等支出，其中1178.13万元使用一般公共预算安排，包括水费、电费、取暖费等支出；4010.77万元使用财政专户管理资金安排。</w:t>
      </w:r>
    </w:p>
    <w:p>
      <w:pPr>
        <w:widowControl/>
        <w:spacing w:line="640" w:lineRule="atLeas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2、2022年单位项目支出预算情况</w:t>
      </w:r>
    </w:p>
    <w:p>
      <w:pPr>
        <w:widowControl/>
        <w:spacing w:line="640" w:lineRule="atLeas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2022年单位项目支出共计9721.91万元，按照《内蒙古自治区本级项目支出预算管理办法》（内政办发﹝2016﹞136号）要求，单位项目支出实行项目库管理。2022年单位项目支出预算主要包括：高等教育改革发展项目、高等职业教育项目、高校学生资助项目、中职学生资助项目、中央现代职业教育质量提升项目、校园足球项目、学院高质量发展建设项目等，具体项目明细详见后附《项目支出绩效表》。</w:t>
      </w:r>
    </w:p>
    <w:p>
      <w:pPr>
        <w:widowControl/>
        <w:spacing w:line="560" w:lineRule="atLeast"/>
        <w:ind w:firstLine="640"/>
        <w:jc w:val="left"/>
        <w:rPr>
          <w:rFonts w:hint="eastAsia" w:ascii="黑体" w:hAnsi="黑体" w:eastAsia="黑体" w:cs="黑体"/>
          <w:b/>
          <w:kern w:val="0"/>
          <w:sz w:val="32"/>
          <w:szCs w:val="32"/>
          <w:shd w:val="clear" w:color="auto" w:fill="FFFFFF"/>
        </w:rPr>
      </w:pPr>
      <w:r>
        <w:rPr>
          <w:rFonts w:hint="eastAsia" w:ascii="黑体" w:hAnsi="黑体" w:eastAsia="黑体" w:cs="黑体"/>
          <w:b/>
          <w:kern w:val="0"/>
          <w:sz w:val="32"/>
          <w:szCs w:val="32"/>
          <w:shd w:val="clear" w:color="auto" w:fill="FFFFFF"/>
        </w:rPr>
        <w:t>二、一般公共预算财政拨款收支情况说明</w:t>
      </w:r>
    </w:p>
    <w:p>
      <w:pPr>
        <w:widowControl/>
        <w:adjustRightInd w:val="0"/>
        <w:snapToGrid w:val="0"/>
        <w:spacing w:line="640" w:lineRule="exact"/>
        <w:ind w:firstLine="640" w:firstLineChars="200"/>
        <w:jc w:val="left"/>
        <w:textAlignment w:val="center"/>
        <w:rPr>
          <w:rFonts w:hint="eastAsia" w:ascii="楷体" w:hAnsi="楷体" w:eastAsia="楷体" w:cs="仿宋"/>
          <w:sz w:val="32"/>
          <w:szCs w:val="32"/>
          <w:lang w:eastAsia="zh-CN"/>
        </w:rPr>
      </w:pPr>
      <w:r>
        <w:rPr>
          <w:rFonts w:hint="eastAsia" w:ascii="楷体" w:hAnsi="楷体" w:eastAsia="楷体" w:cs="仿宋"/>
          <w:sz w:val="32"/>
          <w:szCs w:val="32"/>
          <w:lang w:eastAsia="zh-CN"/>
        </w:rPr>
        <w:t>（一）一般公共预算财政拨款规模情况</w:t>
      </w:r>
    </w:p>
    <w:p>
      <w:pPr>
        <w:widowControl/>
        <w:spacing w:line="64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eastAsia="zh-CN"/>
        </w:rPr>
        <w:t>2022年，单位财政拨款收入预算16791.82万元，其中当年财政拨款16065.91万元，上年财政拨款结转725.91万</w:t>
      </w:r>
      <w:r>
        <w:rPr>
          <w:rFonts w:hint="eastAsia" w:ascii="仿宋" w:hAnsi="仿宋" w:eastAsia="仿宋" w:cs="仿宋"/>
          <w:kern w:val="0"/>
          <w:sz w:val="32"/>
          <w:szCs w:val="32"/>
          <w:shd w:val="clear" w:color="auto" w:fill="FFFFFF"/>
        </w:rPr>
        <w:t>元。</w:t>
      </w:r>
    </w:p>
    <w:p>
      <w:pPr>
        <w:widowControl/>
        <w:adjustRightInd w:val="0"/>
        <w:snapToGrid w:val="0"/>
        <w:spacing w:line="640" w:lineRule="exact"/>
        <w:ind w:firstLine="640" w:firstLineChars="200"/>
        <w:jc w:val="left"/>
        <w:textAlignment w:val="center"/>
        <w:rPr>
          <w:rFonts w:hint="eastAsia" w:ascii="楷体" w:hAnsi="楷体" w:eastAsia="楷体" w:cs="仿宋"/>
          <w:sz w:val="32"/>
          <w:szCs w:val="32"/>
          <w:lang w:eastAsia="zh-CN"/>
        </w:rPr>
      </w:pPr>
      <w:r>
        <w:rPr>
          <w:rFonts w:hint="eastAsia" w:ascii="楷体" w:hAnsi="楷体" w:eastAsia="楷体" w:cs="仿宋"/>
          <w:sz w:val="32"/>
          <w:szCs w:val="32"/>
          <w:lang w:eastAsia="zh-CN"/>
        </w:rPr>
        <w:t>（二）一般公共预算财政拨款具体使用安排情况</w:t>
      </w:r>
    </w:p>
    <w:p>
      <w:pPr>
        <w:widowControl/>
        <w:spacing w:line="640" w:lineRule="atLeas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2022年，单位财政拨款支出预算16791.82万元，具体安排：</w:t>
      </w:r>
    </w:p>
    <w:p>
      <w:pPr>
        <w:widowControl/>
        <w:spacing w:line="64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1、教育支出类13658.59万元 ，主要用于单位人员工资福利支出、保障教育教学和单位工作正常运转、高校学生资助补助、中职学生资助、现代职业教育质量提升、高等职业教育项目等。</w:t>
      </w:r>
    </w:p>
    <w:p>
      <w:pPr>
        <w:widowControl/>
        <w:spacing w:line="640" w:lineRule="atLeas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2、社会保障和就业类1670.57万元，主要用于发放养老金及职业年金等。</w:t>
      </w:r>
    </w:p>
    <w:p>
      <w:pPr>
        <w:widowControl/>
        <w:spacing w:line="640" w:lineRule="atLeas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3、卫生健康支出</w:t>
      </w:r>
      <w:r>
        <w:rPr>
          <w:rFonts w:hint="eastAsia" w:ascii="仿宋" w:hAnsi="仿宋" w:eastAsia="仿宋" w:cs="仿宋"/>
          <w:bCs/>
          <w:kern w:val="0"/>
          <w:sz w:val="32"/>
          <w:szCs w:val="32"/>
          <w:shd w:val="clear" w:color="auto" w:fill="FFFFFF"/>
        </w:rPr>
        <w:t>762.66</w:t>
      </w:r>
      <w:r>
        <w:rPr>
          <w:rFonts w:hint="eastAsia" w:ascii="仿宋" w:hAnsi="仿宋" w:eastAsia="仿宋" w:cs="仿宋"/>
          <w:kern w:val="0"/>
          <w:sz w:val="32"/>
          <w:szCs w:val="32"/>
          <w:shd w:val="clear" w:color="auto" w:fill="FFFFFF"/>
        </w:rPr>
        <w:t>万元，主要用于职工基本医疗保险缴费和公务员医疗补助缴费。</w:t>
      </w:r>
    </w:p>
    <w:p>
      <w:pPr>
        <w:widowControl/>
        <w:spacing w:line="640" w:lineRule="atLeas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4、住房保障支出700万元，主要用于职工住房公积金支出。</w:t>
      </w:r>
    </w:p>
    <w:p>
      <w:pPr>
        <w:widowControl/>
        <w:spacing w:line="640" w:lineRule="atLeast"/>
        <w:ind w:firstLine="627"/>
        <w:jc w:val="left"/>
        <w:rPr>
          <w:rFonts w:hint="eastAsia" w:ascii="黑体" w:hAnsi="黑体" w:eastAsia="黑体" w:cs="黑体"/>
          <w:b/>
          <w:kern w:val="0"/>
          <w:sz w:val="32"/>
          <w:szCs w:val="32"/>
          <w:shd w:val="clear" w:color="auto" w:fill="FFFFFF"/>
        </w:rPr>
      </w:pPr>
      <w:r>
        <w:rPr>
          <w:rFonts w:hint="eastAsia" w:ascii="黑体" w:hAnsi="黑体" w:eastAsia="黑体" w:cs="黑体"/>
          <w:b/>
          <w:kern w:val="0"/>
          <w:sz w:val="32"/>
          <w:szCs w:val="32"/>
          <w:shd w:val="clear" w:color="auto" w:fill="FFFFFF"/>
        </w:rPr>
        <w:t>三、政府性基金预算财政拨款支出情况说明</w:t>
      </w:r>
    </w:p>
    <w:p>
      <w:pPr>
        <w:widowControl/>
        <w:spacing w:line="640" w:lineRule="atLeast"/>
        <w:ind w:firstLine="627"/>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无政府性基金财政拨款</w:t>
      </w:r>
    </w:p>
    <w:p>
      <w:pPr>
        <w:widowControl/>
        <w:spacing w:line="640" w:lineRule="atLeast"/>
        <w:ind w:firstLine="627"/>
        <w:jc w:val="left"/>
        <w:rPr>
          <w:rFonts w:hint="eastAsia" w:ascii="黑体" w:hAnsi="黑体" w:eastAsia="黑体" w:cs="黑体"/>
          <w:b/>
          <w:kern w:val="0"/>
          <w:sz w:val="32"/>
          <w:szCs w:val="32"/>
          <w:shd w:val="clear" w:color="auto" w:fill="FFFFFF"/>
        </w:rPr>
      </w:pPr>
      <w:r>
        <w:rPr>
          <w:rFonts w:hint="eastAsia" w:ascii="黑体" w:hAnsi="黑体" w:eastAsia="黑体" w:cs="黑体"/>
          <w:b/>
          <w:kern w:val="0"/>
          <w:sz w:val="32"/>
          <w:szCs w:val="32"/>
          <w:shd w:val="clear" w:color="auto" w:fill="FFFFFF"/>
        </w:rPr>
        <w:t>四、财政拨款“三公”经费预算情况说明</w:t>
      </w:r>
    </w:p>
    <w:p>
      <w:pPr>
        <w:widowControl/>
        <w:spacing w:line="64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2022年未安排一般公共预算“三公经费”支出。</w:t>
      </w:r>
    </w:p>
    <w:p>
      <w:pPr>
        <w:widowControl/>
        <w:spacing w:line="64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2022年使用单位自有资金安排“三公经费”支出220万元，其中：</w:t>
      </w:r>
    </w:p>
    <w:p>
      <w:pPr>
        <w:widowControl/>
        <w:spacing w:line="640" w:lineRule="atLeas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1、因公出国（境）费用80万元，主要是根据2022年单位承接的提质培优建设任务需要安排；</w:t>
      </w:r>
    </w:p>
    <w:p>
      <w:pPr>
        <w:widowControl/>
        <w:spacing w:line="640" w:lineRule="atLeas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2、公务接待费5万元，较上年减少0.8万元；</w:t>
      </w:r>
    </w:p>
    <w:p>
      <w:pPr>
        <w:widowControl/>
        <w:spacing w:line="64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3、公务用车购置及运行维护费135万元，比上年增加82万元。其中，公务用车购置100万元，用于单位公车购置一辆；公务用车运行维护费35万元，与上年预算一致，用于学院现有公务用车的维修维护。</w:t>
      </w:r>
    </w:p>
    <w:p>
      <w:pPr>
        <w:widowControl/>
        <w:spacing w:line="560" w:lineRule="atLeast"/>
        <w:jc w:val="center"/>
        <w:rPr>
          <w:rFonts w:hint="eastAsia" w:ascii="仿宋" w:hAnsi="仿宋" w:eastAsia="仿宋" w:cs="仿宋"/>
          <w:sz w:val="32"/>
          <w:szCs w:val="32"/>
        </w:rPr>
      </w:pPr>
      <w:r>
        <w:rPr>
          <w:rFonts w:hint="eastAsia" w:ascii="仿宋" w:hAnsi="仿宋" w:eastAsia="仿宋" w:cs="仿宋"/>
          <w:kern w:val="0"/>
          <w:sz w:val="32"/>
          <w:szCs w:val="32"/>
          <w:shd w:val="clear" w:color="auto" w:fill="FFFFFF"/>
        </w:rPr>
        <w:t> </w:t>
      </w:r>
    </w:p>
    <w:p>
      <w:pPr>
        <w:widowControl/>
        <w:spacing w:line="560" w:lineRule="atLeast"/>
        <w:jc w:val="center"/>
        <w:rPr>
          <w:rFonts w:hint="eastAsia" w:ascii="黑体" w:hAnsi="黑体" w:eastAsia="黑体" w:cs="黑体"/>
          <w:b/>
          <w:kern w:val="0"/>
          <w:sz w:val="36"/>
          <w:szCs w:val="36"/>
          <w:shd w:val="clear" w:color="auto" w:fill="FFFFFF"/>
        </w:rPr>
      </w:pPr>
      <w:r>
        <w:rPr>
          <w:rFonts w:hint="eastAsia" w:ascii="黑体" w:hAnsi="黑体" w:eastAsia="黑体" w:cs="黑体"/>
          <w:b/>
          <w:kern w:val="0"/>
          <w:sz w:val="36"/>
          <w:szCs w:val="36"/>
          <w:shd w:val="clear" w:color="auto" w:fill="FFFFFF"/>
        </w:rPr>
        <w:t>第三部分  其他公开事项说明</w:t>
      </w:r>
    </w:p>
    <w:p>
      <w:pPr>
        <w:widowControl/>
        <w:spacing w:line="560" w:lineRule="atLeast"/>
        <w:jc w:val="center"/>
        <w:rPr>
          <w:rFonts w:hint="eastAsia" w:ascii="黑体" w:hAnsi="黑体" w:eastAsia="黑体" w:cs="黑体"/>
          <w:b/>
          <w:kern w:val="0"/>
          <w:sz w:val="21"/>
          <w:szCs w:val="21"/>
          <w:shd w:val="clear" w:color="auto" w:fill="FFFFFF"/>
        </w:rPr>
      </w:pPr>
    </w:p>
    <w:p>
      <w:pPr>
        <w:widowControl/>
        <w:spacing w:line="560" w:lineRule="atLeast"/>
        <w:ind w:firstLine="643" w:firstLineChars="200"/>
        <w:jc w:val="left"/>
        <w:rPr>
          <w:rFonts w:hint="eastAsia" w:ascii="黑体" w:hAnsi="黑体" w:eastAsia="黑体" w:cs="黑体"/>
          <w:b/>
          <w:sz w:val="32"/>
          <w:szCs w:val="32"/>
        </w:rPr>
      </w:pPr>
      <w:r>
        <w:rPr>
          <w:rFonts w:hint="eastAsia" w:ascii="黑体" w:hAnsi="黑体" w:eastAsia="黑体" w:cs="黑体"/>
          <w:b/>
          <w:kern w:val="0"/>
          <w:sz w:val="32"/>
          <w:szCs w:val="32"/>
          <w:shd w:val="clear" w:color="auto" w:fill="FFFFFF"/>
        </w:rPr>
        <w:t> 一、政府采购预算情况说明</w:t>
      </w:r>
    </w:p>
    <w:p>
      <w:pPr>
        <w:widowControl/>
        <w:spacing w:line="540" w:lineRule="atLeas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2022年，单位政府采购预算总额8397.43万元，采购明细可详见后附《政府采购预算明细表》。</w:t>
      </w:r>
    </w:p>
    <w:p>
      <w:pPr>
        <w:widowControl/>
        <w:spacing w:line="560" w:lineRule="atLeast"/>
        <w:ind w:firstLine="643" w:firstLineChars="200"/>
        <w:jc w:val="left"/>
        <w:rPr>
          <w:rFonts w:hint="eastAsia" w:ascii="黑体" w:hAnsi="黑体" w:eastAsia="黑体" w:cs="黑体"/>
          <w:b/>
          <w:kern w:val="0"/>
          <w:sz w:val="32"/>
          <w:szCs w:val="32"/>
          <w:shd w:val="clear" w:color="auto" w:fill="FFFFFF"/>
        </w:rPr>
      </w:pPr>
      <w:r>
        <w:rPr>
          <w:rFonts w:hint="eastAsia" w:ascii="黑体" w:hAnsi="黑体" w:eastAsia="黑体" w:cs="黑体"/>
          <w:b/>
          <w:kern w:val="0"/>
          <w:sz w:val="32"/>
          <w:szCs w:val="32"/>
          <w:shd w:val="clear" w:color="auto" w:fill="FFFFFF"/>
        </w:rPr>
        <w:t>二、国有资产占有使用情况说明</w:t>
      </w:r>
    </w:p>
    <w:p>
      <w:pPr>
        <w:widowControl/>
        <w:spacing w:line="56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截至2021年末，单位共有公务用车辆5辆， 其中轿车2辆，小型载客车1辆，大中型载客车2辆。</w:t>
      </w:r>
    </w:p>
    <w:p>
      <w:pPr>
        <w:widowControl/>
        <w:spacing w:line="560" w:lineRule="atLeast"/>
        <w:ind w:firstLine="643" w:firstLineChars="200"/>
        <w:jc w:val="left"/>
        <w:rPr>
          <w:rFonts w:hint="eastAsia" w:ascii="黑体" w:hAnsi="黑体" w:eastAsia="黑体" w:cs="黑体"/>
          <w:b/>
          <w:kern w:val="0"/>
          <w:sz w:val="32"/>
          <w:szCs w:val="32"/>
          <w:shd w:val="clear" w:color="auto" w:fill="FFFFFF"/>
        </w:rPr>
      </w:pPr>
      <w:r>
        <w:rPr>
          <w:rFonts w:hint="eastAsia" w:ascii="黑体" w:hAnsi="黑体" w:eastAsia="黑体" w:cs="黑体"/>
          <w:b/>
          <w:kern w:val="0"/>
          <w:sz w:val="32"/>
          <w:szCs w:val="32"/>
          <w:shd w:val="clear" w:color="auto" w:fill="FFFFFF"/>
        </w:rPr>
        <w:t>三、绩效目标设置情况</w:t>
      </w:r>
    </w:p>
    <w:p>
      <w:pPr>
        <w:widowControl/>
        <w:spacing w:line="560" w:lineRule="atLeas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2022年，单位填报绩效目标的预算项目共26个，公开绩效目标26个，公开项目占全部预算项目100%。其中包括基本支出14个项目；项目支出12个项目。项目支出的绩效目标如下:</w:t>
      </w:r>
    </w:p>
    <w:p>
      <w:pPr>
        <w:widowControl/>
        <w:spacing w:line="56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（一）高校学生资助项目。项目绩效目标：根据国家奖学金政策建立健全学院奖学金制度，表彰激励勤奋学习努力进取的学生。按照上级部门下达的奖助金额按政策及时足额发放。</w:t>
      </w:r>
    </w:p>
    <w:p>
      <w:pPr>
        <w:widowControl/>
        <w:spacing w:line="56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高等职业教育项目。绩效目标：推进自治区数字校园标杆学校建设工作。完成学院数字化校园建设项目，通过“四个平台”分域融合提升学院信息化应用能力，进一步强化网络安全体系建设，保障数字校园网络安全。</w:t>
      </w:r>
    </w:p>
    <w:p>
      <w:pPr>
        <w:widowControl/>
        <w:spacing w:line="56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（三）中央高校学生资助项目。绩效目标：根据国家奖学金政策建立健全学院奖学金制度，表彰激励勤奋学习努力进取的学生。按照上级部门下达的各项奖助金额按政策及时足额发放。</w:t>
      </w:r>
    </w:p>
    <w:p>
      <w:pPr>
        <w:widowControl/>
        <w:spacing w:line="56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（四）中央现代职业教育质量提升项目。绩效目标：追求更高的专业建设精度，完成专业群课程建设；建设完善商务管理专业实训条件，提高师生产学研参与度; 完成校史馆等校园文化建设和美化校园环境。</w:t>
      </w:r>
    </w:p>
    <w:p>
      <w:pPr>
        <w:widowControl/>
        <w:spacing w:line="56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（五）中央中职学生资助项目。绩效目标：全面落实中职教育免学费免教科书政策，避免学生因困失学，提高教育公平。</w:t>
      </w:r>
    </w:p>
    <w:p>
      <w:pPr>
        <w:widowControl/>
        <w:spacing w:line="56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（六）中职学生资助项目。绩效目标：全面落实中职教育免学费免教科书政策，避免学生因困失学，提高教育公平。</w:t>
      </w:r>
    </w:p>
    <w:p>
      <w:pPr>
        <w:widowControl/>
        <w:spacing w:line="56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（七）运转补助项目。绩效目标：完善纪检内网建设，提高纪委工作效率，打造便捷高效的纪检工作环境；完善校园文化建设，提高校园文化品质。</w:t>
      </w:r>
    </w:p>
    <w:p>
      <w:pPr>
        <w:widowControl/>
        <w:spacing w:line="56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（八）校园足球项目。绩效目标：通过组织自治区校园足球赛事及活动项目，让更多学生接触参与到足球活动中，提升学院整体足球水平。</w:t>
      </w:r>
    </w:p>
    <w:p>
      <w:pPr>
        <w:widowControl/>
        <w:spacing w:line="56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（九）思想政治和体美劳项目。绩效目标：通过“三全育人”等思想政治建设项目，提升学生在专业课程学习之外的思想政治综合素质，提升学院整体思政水平。</w:t>
      </w:r>
    </w:p>
    <w:p>
      <w:pPr>
        <w:widowControl/>
        <w:spacing w:line="56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（十）高等教育改革发展项目。绩效目标：落实专项资金补助政策，培育双创参赛项目，提高学院双创教育水平；保障教师顺利完成科研任务。</w:t>
      </w:r>
    </w:p>
    <w:p>
      <w:pPr>
        <w:widowControl/>
        <w:spacing w:line="56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一）内蒙古商贸学院高质量发展建设项目。绩效目标：承接了“省域高水平高职学校（11.1）”等37项任务，科学有序推进各项工作，推动学院人才培养质量提升和各项工作高质量发展；保障学院70年校庆顺利进行。</w:t>
      </w:r>
    </w:p>
    <w:p>
      <w:pPr>
        <w:widowControl/>
        <w:spacing w:line="56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（十二）内蒙古商贸职业学院校园环境改善建设项目。绩效目标：迎接70年大庆，对场地设施、楼宇建筑等全面修缮，恢复失修资产使用功能，提高资产利用率，改善校园环境。</w:t>
      </w:r>
    </w:p>
    <w:p>
      <w:pPr>
        <w:widowControl/>
        <w:spacing w:line="560" w:lineRule="atLeast"/>
        <w:ind w:firstLine="640"/>
        <w:jc w:val="left"/>
        <w:rPr>
          <w:rFonts w:hint="eastAsia" w:ascii="仿宋" w:hAnsi="仿宋" w:eastAsia="仿宋" w:cs="仿宋"/>
          <w:kern w:val="0"/>
          <w:sz w:val="32"/>
          <w:szCs w:val="32"/>
          <w:shd w:val="clear" w:color="auto" w:fill="FFFFFF"/>
        </w:rPr>
      </w:pPr>
    </w:p>
    <w:p>
      <w:pPr>
        <w:widowControl/>
        <w:spacing w:line="560" w:lineRule="atLeast"/>
        <w:ind w:firstLine="723"/>
        <w:jc w:val="center"/>
        <w:rPr>
          <w:rFonts w:hint="eastAsia" w:ascii="黑体" w:hAnsi="黑体" w:eastAsia="黑体" w:cs="黑体"/>
          <w:b/>
          <w:kern w:val="0"/>
          <w:sz w:val="36"/>
          <w:szCs w:val="36"/>
          <w:shd w:val="clear" w:color="auto" w:fill="FFFFFF"/>
        </w:rPr>
      </w:pPr>
      <w:r>
        <w:rPr>
          <w:rFonts w:hint="eastAsia" w:ascii="黑体" w:hAnsi="黑体" w:eastAsia="黑体" w:cs="黑体"/>
          <w:b/>
          <w:kern w:val="0"/>
          <w:sz w:val="36"/>
          <w:szCs w:val="36"/>
          <w:shd w:val="clear" w:color="auto" w:fill="FFFFFF"/>
        </w:rPr>
        <w:t>第四部分  名词解释</w:t>
      </w:r>
    </w:p>
    <w:p>
      <w:pPr>
        <w:widowControl/>
        <w:spacing w:line="560" w:lineRule="atLeast"/>
        <w:ind w:firstLine="723"/>
        <w:jc w:val="center"/>
        <w:rPr>
          <w:rFonts w:hint="eastAsia" w:ascii="黑体" w:hAnsi="黑体" w:eastAsia="黑体" w:cs="黑体"/>
          <w:b/>
          <w:kern w:val="0"/>
          <w:sz w:val="36"/>
          <w:szCs w:val="36"/>
          <w:shd w:val="clear" w:color="auto" w:fill="FFFFFF"/>
        </w:rPr>
      </w:pPr>
    </w:p>
    <w:p>
      <w:pPr>
        <w:widowControl/>
        <w:spacing w:line="560" w:lineRule="atLeast"/>
        <w:ind w:firstLine="640"/>
        <w:jc w:val="left"/>
        <w:rPr>
          <w:rFonts w:hint="eastAsia" w:ascii="仿宋" w:hAnsi="仿宋" w:eastAsia="仿宋" w:cs="仿宋"/>
          <w:sz w:val="32"/>
          <w:szCs w:val="32"/>
        </w:rPr>
      </w:pPr>
      <w:r>
        <w:rPr>
          <w:rFonts w:hint="eastAsia" w:ascii="黑体" w:hAnsi="黑体" w:eastAsia="黑体" w:cs="黑体"/>
          <w:kern w:val="0"/>
          <w:sz w:val="32"/>
          <w:szCs w:val="32"/>
          <w:shd w:val="clear" w:color="auto" w:fill="FFFFFF"/>
        </w:rPr>
        <w:t>一、一般公共预算财政拨款收入：</w:t>
      </w:r>
      <w:r>
        <w:rPr>
          <w:rFonts w:hint="eastAsia" w:ascii="仿宋" w:hAnsi="仿宋" w:eastAsia="仿宋" w:cs="仿宋"/>
          <w:kern w:val="0"/>
          <w:sz w:val="32"/>
          <w:szCs w:val="32"/>
          <w:shd w:val="clear" w:color="auto" w:fill="FFFFFF"/>
        </w:rPr>
        <w:t>是指自治区财政当年拨付的资金。</w:t>
      </w:r>
    </w:p>
    <w:p>
      <w:pPr>
        <w:widowControl/>
        <w:spacing w:line="560" w:lineRule="atLeast"/>
        <w:ind w:firstLine="640"/>
        <w:jc w:val="left"/>
        <w:rPr>
          <w:rFonts w:hint="eastAsia" w:ascii="仿宋" w:hAnsi="仿宋" w:eastAsia="仿宋" w:cs="仿宋"/>
          <w:sz w:val="32"/>
          <w:szCs w:val="32"/>
        </w:rPr>
      </w:pPr>
      <w:r>
        <w:rPr>
          <w:rFonts w:hint="eastAsia" w:ascii="黑体" w:hAnsi="黑体" w:eastAsia="黑体" w:cs="黑体"/>
          <w:kern w:val="0"/>
          <w:sz w:val="32"/>
          <w:szCs w:val="32"/>
          <w:shd w:val="clear" w:color="auto" w:fill="FFFFFF"/>
        </w:rPr>
        <w:t>二、事业收入：</w:t>
      </w:r>
      <w:r>
        <w:rPr>
          <w:rFonts w:hint="eastAsia" w:ascii="仿宋" w:hAnsi="仿宋" w:eastAsia="仿宋" w:cs="仿宋"/>
          <w:kern w:val="0"/>
          <w:sz w:val="32"/>
          <w:szCs w:val="32"/>
          <w:shd w:val="clear" w:color="auto" w:fill="FFFFFF"/>
        </w:rPr>
        <w:t>是指事业单位开展专业业务活动及辅助活动所取得的收入。</w:t>
      </w:r>
    </w:p>
    <w:p>
      <w:pPr>
        <w:widowControl/>
        <w:spacing w:line="560" w:lineRule="atLeast"/>
        <w:ind w:firstLine="645"/>
        <w:jc w:val="left"/>
        <w:rPr>
          <w:rFonts w:hint="eastAsia" w:ascii="仿宋" w:hAnsi="仿宋" w:eastAsia="仿宋" w:cs="仿宋"/>
          <w:sz w:val="32"/>
          <w:szCs w:val="32"/>
        </w:rPr>
      </w:pPr>
      <w:r>
        <w:rPr>
          <w:rFonts w:hint="eastAsia" w:ascii="黑体" w:hAnsi="黑体" w:eastAsia="黑体" w:cs="黑体"/>
          <w:kern w:val="0"/>
          <w:sz w:val="32"/>
          <w:szCs w:val="32"/>
          <w:shd w:val="clear" w:color="auto" w:fill="FFFFFF"/>
        </w:rPr>
        <w:t>三、事业单位经营收入：</w:t>
      </w:r>
      <w:r>
        <w:rPr>
          <w:rFonts w:hint="eastAsia" w:ascii="仿宋" w:hAnsi="仿宋" w:eastAsia="仿宋" w:cs="仿宋"/>
          <w:kern w:val="0"/>
          <w:sz w:val="32"/>
          <w:szCs w:val="32"/>
          <w:shd w:val="clear" w:color="auto" w:fill="FFFFFF"/>
        </w:rPr>
        <w:t>是指事业单位在专业业务活动及其辅助活动之外开展非独立核算经营活动取得的收入。</w:t>
      </w:r>
    </w:p>
    <w:p>
      <w:pPr>
        <w:widowControl/>
        <w:spacing w:line="560" w:lineRule="atLeast"/>
        <w:ind w:firstLine="645"/>
        <w:jc w:val="left"/>
        <w:rPr>
          <w:rFonts w:hint="eastAsia" w:ascii="仿宋" w:hAnsi="仿宋" w:eastAsia="仿宋" w:cs="仿宋"/>
          <w:sz w:val="32"/>
          <w:szCs w:val="32"/>
        </w:rPr>
      </w:pPr>
      <w:r>
        <w:rPr>
          <w:rFonts w:hint="eastAsia" w:ascii="黑体" w:hAnsi="黑体" w:eastAsia="黑体" w:cs="黑体"/>
          <w:kern w:val="0"/>
          <w:sz w:val="32"/>
          <w:szCs w:val="32"/>
          <w:shd w:val="clear" w:color="auto" w:fill="FFFFFF"/>
        </w:rPr>
        <w:t>四、其他收入 ：</w:t>
      </w:r>
      <w:r>
        <w:rPr>
          <w:rFonts w:hint="eastAsia" w:ascii="仿宋" w:hAnsi="仿宋" w:eastAsia="仿宋" w:cs="仿宋"/>
          <w:kern w:val="0"/>
          <w:sz w:val="32"/>
          <w:szCs w:val="32"/>
          <w:shd w:val="clear" w:color="auto" w:fill="FFFFFF"/>
        </w:rPr>
        <w:t>是指除上述“一般公共预算财政拨款收入”、“事业收入”、“事业单位经营收入”等以外的收入。主要是指按规定动用的售房收入、存款利息收入等。</w:t>
      </w:r>
    </w:p>
    <w:p>
      <w:pPr>
        <w:widowControl/>
        <w:spacing w:line="560" w:lineRule="atLeast"/>
        <w:ind w:firstLine="645"/>
        <w:jc w:val="left"/>
        <w:rPr>
          <w:rFonts w:hint="eastAsia" w:ascii="仿宋" w:hAnsi="仿宋" w:eastAsia="仿宋" w:cs="仿宋"/>
          <w:sz w:val="32"/>
          <w:szCs w:val="32"/>
        </w:rPr>
      </w:pPr>
      <w:r>
        <w:rPr>
          <w:rFonts w:hint="eastAsia" w:ascii="黑体" w:hAnsi="黑体" w:eastAsia="黑体" w:cs="黑体"/>
          <w:kern w:val="0"/>
          <w:sz w:val="32"/>
          <w:szCs w:val="32"/>
          <w:shd w:val="clear" w:color="auto" w:fill="FFFFFF"/>
        </w:rPr>
        <w:t>五、用事业基金弥补收支差额：</w:t>
      </w:r>
      <w:r>
        <w:rPr>
          <w:rFonts w:hint="eastAsia" w:ascii="仿宋" w:hAnsi="仿宋" w:eastAsia="仿宋" w:cs="仿宋"/>
          <w:kern w:val="0"/>
          <w:sz w:val="32"/>
          <w:szCs w:val="32"/>
          <w:shd w:val="clear" w:color="auto" w:fill="FFFFFF"/>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widowControl/>
        <w:spacing w:line="560" w:lineRule="atLeast"/>
        <w:ind w:firstLine="645"/>
        <w:jc w:val="left"/>
        <w:rPr>
          <w:rFonts w:hint="eastAsia" w:ascii="仿宋" w:hAnsi="仿宋" w:eastAsia="仿宋" w:cs="仿宋"/>
          <w:sz w:val="32"/>
          <w:szCs w:val="32"/>
        </w:rPr>
      </w:pPr>
      <w:r>
        <w:rPr>
          <w:rFonts w:hint="eastAsia" w:ascii="黑体" w:hAnsi="黑体" w:eastAsia="黑体" w:cs="黑体"/>
          <w:kern w:val="0"/>
          <w:sz w:val="32"/>
          <w:szCs w:val="32"/>
          <w:shd w:val="clear" w:color="auto" w:fill="FFFFFF"/>
        </w:rPr>
        <w:t>六、上年结转：</w:t>
      </w:r>
      <w:r>
        <w:rPr>
          <w:rFonts w:hint="eastAsia" w:ascii="仿宋" w:hAnsi="仿宋" w:eastAsia="仿宋" w:cs="仿宋"/>
          <w:kern w:val="0"/>
          <w:sz w:val="32"/>
          <w:szCs w:val="32"/>
          <w:shd w:val="clear" w:color="auto" w:fill="FFFFFF"/>
        </w:rPr>
        <w:t>是指以前年度尚未完成、结转到本年仍按原规定用途继续使用的资金。</w:t>
      </w:r>
    </w:p>
    <w:p>
      <w:pPr>
        <w:widowControl/>
        <w:spacing w:line="560" w:lineRule="atLeast"/>
        <w:ind w:firstLine="645"/>
        <w:jc w:val="left"/>
        <w:rPr>
          <w:rFonts w:hint="eastAsia" w:ascii="仿宋" w:hAnsi="仿宋" w:eastAsia="仿宋" w:cs="仿宋"/>
          <w:sz w:val="32"/>
          <w:szCs w:val="32"/>
        </w:rPr>
      </w:pPr>
      <w:r>
        <w:rPr>
          <w:rFonts w:hint="eastAsia" w:ascii="黑体" w:hAnsi="黑体" w:eastAsia="黑体" w:cs="黑体"/>
          <w:kern w:val="0"/>
          <w:sz w:val="32"/>
          <w:szCs w:val="32"/>
          <w:shd w:val="clear" w:color="auto" w:fill="FFFFFF"/>
        </w:rPr>
        <w:t>七、基本支出：</w:t>
      </w:r>
      <w:r>
        <w:rPr>
          <w:rFonts w:hint="eastAsia" w:ascii="仿宋" w:hAnsi="仿宋" w:eastAsia="仿宋" w:cs="仿宋"/>
          <w:kern w:val="0"/>
          <w:sz w:val="32"/>
          <w:szCs w:val="32"/>
          <w:shd w:val="clear" w:color="auto" w:fill="FFFFFF"/>
        </w:rPr>
        <w:t>是指为保障机构正常运转，完成日常工作任务而发生的人员支出和公用支出。</w:t>
      </w:r>
    </w:p>
    <w:p>
      <w:pPr>
        <w:widowControl/>
        <w:spacing w:line="560" w:lineRule="atLeast"/>
        <w:ind w:firstLine="645"/>
        <w:jc w:val="left"/>
        <w:rPr>
          <w:rFonts w:hint="eastAsia" w:ascii="仿宋" w:hAnsi="仿宋" w:eastAsia="仿宋" w:cs="仿宋"/>
          <w:sz w:val="32"/>
          <w:szCs w:val="32"/>
        </w:rPr>
      </w:pPr>
      <w:r>
        <w:rPr>
          <w:rFonts w:hint="eastAsia" w:ascii="黑体" w:hAnsi="黑体" w:eastAsia="黑体" w:cs="黑体"/>
          <w:kern w:val="0"/>
          <w:sz w:val="32"/>
          <w:szCs w:val="32"/>
          <w:shd w:val="clear" w:color="auto" w:fill="FFFFFF"/>
        </w:rPr>
        <w:t>八、项目支出：</w:t>
      </w:r>
      <w:r>
        <w:rPr>
          <w:rFonts w:hint="eastAsia" w:ascii="仿宋" w:hAnsi="仿宋" w:eastAsia="仿宋" w:cs="仿宋"/>
          <w:kern w:val="0"/>
          <w:sz w:val="32"/>
          <w:szCs w:val="32"/>
          <w:shd w:val="clear" w:color="auto" w:fill="FFFFFF"/>
        </w:rPr>
        <w:t>是指基本支出之外，为完成特定行政任务和事业发展目标所发生的支出。</w:t>
      </w:r>
    </w:p>
    <w:p>
      <w:pPr>
        <w:widowControl/>
        <w:spacing w:line="560" w:lineRule="atLeast"/>
        <w:ind w:firstLine="645"/>
        <w:jc w:val="left"/>
        <w:rPr>
          <w:rFonts w:hint="eastAsia" w:ascii="仿宋" w:hAnsi="仿宋" w:eastAsia="仿宋" w:cs="仿宋"/>
          <w:kern w:val="0"/>
          <w:sz w:val="32"/>
          <w:szCs w:val="32"/>
          <w:shd w:val="clear" w:color="auto" w:fill="FFFFFF"/>
        </w:rPr>
      </w:pPr>
      <w:r>
        <w:rPr>
          <w:rFonts w:hint="eastAsia" w:ascii="黑体" w:hAnsi="黑体" w:eastAsia="黑体" w:cs="黑体"/>
          <w:kern w:val="0"/>
          <w:sz w:val="32"/>
          <w:szCs w:val="32"/>
          <w:shd w:val="clear" w:color="auto" w:fill="FFFFFF"/>
        </w:rPr>
        <w:t>九、“三公”经费：</w:t>
      </w:r>
      <w:r>
        <w:rPr>
          <w:rFonts w:hint="eastAsia" w:ascii="仿宋" w:hAnsi="仿宋" w:eastAsia="仿宋" w:cs="仿宋"/>
          <w:kern w:val="0"/>
          <w:sz w:val="32"/>
          <w:szCs w:val="32"/>
          <w:shd w:val="clear" w:color="auto" w:fill="FFFFFF"/>
        </w:rPr>
        <w:t>纳入财政预决算管理的“三公”经费，是指单位用财政拨款安排的因公出国（境）费、公务用车购置及运行费和公务接待费。</w:t>
      </w:r>
    </w:p>
    <w:p>
      <w:pPr>
        <w:widowControl/>
        <w:spacing w:line="560" w:lineRule="atLeast"/>
        <w:ind w:firstLine="645"/>
        <w:jc w:val="left"/>
        <w:rPr>
          <w:rFonts w:hint="eastAsia" w:ascii="仿宋" w:hAnsi="仿宋" w:eastAsia="仿宋" w:cs="仿宋"/>
          <w:sz w:val="32"/>
          <w:szCs w:val="32"/>
        </w:rPr>
      </w:pPr>
      <w:r>
        <w:rPr>
          <w:rFonts w:hint="eastAsia" w:ascii="黑体" w:hAnsi="黑体" w:eastAsia="黑体" w:cs="黑体"/>
          <w:kern w:val="0"/>
          <w:sz w:val="32"/>
          <w:szCs w:val="32"/>
          <w:shd w:val="clear" w:color="auto" w:fill="FFFFFF"/>
        </w:rPr>
        <w:t>十、机关运行经费：</w:t>
      </w:r>
      <w:r>
        <w:rPr>
          <w:rFonts w:hint="eastAsia" w:ascii="仿宋" w:hAnsi="仿宋" w:eastAsia="仿宋" w:cs="仿宋"/>
          <w:kern w:val="0"/>
          <w:sz w:val="32"/>
          <w:szCs w:val="32"/>
          <w:shd w:val="clear" w:color="auto" w:fill="FFFFFF"/>
        </w:rPr>
        <w:t>是指单位的公用经费，包括办公费及印刷费、邮电费、差旅费、会议费、福利费、日常维修费、专业材料及一般设备购置费、办公用房水电费、办公用房取暖费、办公用房物业费、公务用车运行维护费以及其他费用。</w:t>
      </w:r>
    </w:p>
    <w:p>
      <w:pPr>
        <w:widowControl/>
        <w:spacing w:line="560" w:lineRule="atLeast"/>
        <w:jc w:val="center"/>
        <w:rPr>
          <w:rFonts w:hint="eastAsia" w:ascii="仿宋" w:hAnsi="仿宋" w:eastAsia="仿宋" w:cs="仿宋"/>
          <w:b/>
          <w:kern w:val="0"/>
          <w:sz w:val="32"/>
          <w:szCs w:val="32"/>
          <w:shd w:val="clear" w:color="auto" w:fill="FFFFFF"/>
        </w:rPr>
      </w:pPr>
    </w:p>
    <w:p>
      <w:pPr>
        <w:widowControl/>
        <w:shd w:val="clear"/>
        <w:spacing w:line="560" w:lineRule="atLeast"/>
        <w:jc w:val="center"/>
        <w:rPr>
          <w:rFonts w:hint="eastAsia" w:ascii="黑体" w:hAnsi="黑体" w:eastAsia="黑体" w:cs="黑体"/>
          <w:b/>
          <w:kern w:val="0"/>
          <w:sz w:val="36"/>
          <w:szCs w:val="36"/>
          <w:shd w:val="clear" w:color="auto" w:fill="FFFFFF"/>
        </w:rPr>
      </w:pPr>
      <w:r>
        <w:rPr>
          <w:rFonts w:hint="eastAsia" w:ascii="黑体" w:hAnsi="黑体" w:eastAsia="黑体" w:cs="黑体"/>
          <w:b/>
          <w:kern w:val="0"/>
          <w:sz w:val="36"/>
          <w:szCs w:val="36"/>
          <w:shd w:val="clear" w:color="auto" w:fill="FFFFFF"/>
        </w:rPr>
        <w:t>第五部分  202</w:t>
      </w:r>
      <w:r>
        <w:rPr>
          <w:rFonts w:hint="eastAsia" w:ascii="黑体" w:hAnsi="黑体" w:eastAsia="黑体" w:cs="黑体"/>
          <w:b/>
          <w:kern w:val="0"/>
          <w:sz w:val="36"/>
          <w:szCs w:val="36"/>
          <w:shd w:val="clear" w:color="auto" w:fill="FFFFFF"/>
          <w:lang w:val="en-US" w:eastAsia="zh-CN"/>
        </w:rPr>
        <w:t>2</w:t>
      </w:r>
      <w:r>
        <w:rPr>
          <w:rFonts w:hint="eastAsia" w:ascii="黑体" w:hAnsi="黑体" w:eastAsia="黑体" w:cs="黑体"/>
          <w:b/>
          <w:kern w:val="0"/>
          <w:sz w:val="36"/>
          <w:szCs w:val="36"/>
          <w:shd w:val="clear" w:color="auto" w:fill="FFFFFF"/>
        </w:rPr>
        <w:t>年单位预算公开表</w:t>
      </w:r>
    </w:p>
    <w:p>
      <w:pPr>
        <w:widowControl/>
        <w:shd w:val="clear"/>
        <w:spacing w:line="560" w:lineRule="atLeast"/>
        <w:jc w:val="center"/>
        <w:rPr>
          <w:rFonts w:hint="eastAsia" w:ascii="黑体" w:hAnsi="黑体" w:eastAsia="黑体" w:cs="黑体"/>
          <w:b/>
          <w:kern w:val="0"/>
          <w:sz w:val="36"/>
          <w:szCs w:val="36"/>
          <w:shd w:val="clear" w:color="auto" w:fill="FFFFFF"/>
        </w:rPr>
      </w:pPr>
    </w:p>
    <w:p>
      <w:pPr>
        <w:widowControl/>
        <w:shd w:val="clear" w:color="auto" w:fill="FFFFFF"/>
        <w:spacing w:line="560" w:lineRule="atLeast"/>
        <w:jc w:val="left"/>
        <w:rPr>
          <w:rStyle w:val="7"/>
          <w:rFonts w:hint="eastAsia" w:ascii="仿宋" w:hAnsi="仿宋" w:eastAsia="仿宋" w:cs="仿宋"/>
          <w:color w:val="auto"/>
          <w:sz w:val="32"/>
          <w:szCs w:val="32"/>
          <w:u w:val="none"/>
          <w:shd w:val="clear" w:color="auto" w:fill="FFFFFF"/>
        </w:rPr>
      </w:pPr>
      <w:r>
        <w:rPr>
          <w:rFonts w:hint="eastAsia" w:ascii="仿宋" w:hAnsi="仿宋" w:eastAsia="仿宋" w:cs="仿宋"/>
          <w:kern w:val="0"/>
          <w:sz w:val="32"/>
          <w:szCs w:val="32"/>
          <w:shd w:val="clear" w:color="auto" w:fill="FFFFFF"/>
        </w:rPr>
        <w:t>附件1：</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"https://www.nmgov.edu.cn/xxgk/zfxxgkpt/xxgkml/202002/P020200210482061785844.xls" \t "https://www.nmgov.edu.cn/xxgk/zfxxgkpt/xxgkml/202002/_blank" </w:instrText>
      </w:r>
      <w:r>
        <w:rPr>
          <w:rFonts w:hint="eastAsia" w:ascii="仿宋" w:hAnsi="仿宋" w:eastAsia="仿宋" w:cs="仿宋"/>
          <w:sz w:val="32"/>
          <w:szCs w:val="32"/>
        </w:rPr>
        <w:fldChar w:fldCharType="separate"/>
      </w:r>
      <w:r>
        <w:rPr>
          <w:rStyle w:val="7"/>
          <w:rFonts w:hint="eastAsia" w:ascii="仿宋" w:hAnsi="仿宋" w:eastAsia="仿宋" w:cs="仿宋"/>
          <w:color w:val="auto"/>
          <w:sz w:val="32"/>
          <w:szCs w:val="32"/>
          <w:u w:val="none"/>
          <w:shd w:val="clear" w:color="auto" w:fill="FFFFFF"/>
        </w:rPr>
        <w:t>20</w:t>
      </w:r>
      <w:r>
        <w:rPr>
          <w:rStyle w:val="7"/>
          <w:rFonts w:hint="eastAsia" w:ascii="仿宋" w:hAnsi="仿宋" w:eastAsia="仿宋" w:cs="仿宋"/>
          <w:color w:val="auto"/>
          <w:sz w:val="32"/>
          <w:szCs w:val="32"/>
          <w:u w:val="none"/>
          <w:shd w:val="clear" w:color="auto" w:fill="FFFFFF"/>
          <w:lang w:val="en-US" w:eastAsia="zh-CN"/>
        </w:rPr>
        <w:t>22</w:t>
      </w:r>
      <w:r>
        <w:rPr>
          <w:rStyle w:val="7"/>
          <w:rFonts w:hint="eastAsia" w:ascii="仿宋" w:hAnsi="仿宋" w:eastAsia="仿宋" w:cs="仿宋"/>
          <w:color w:val="auto"/>
          <w:sz w:val="32"/>
          <w:szCs w:val="32"/>
          <w:u w:val="none"/>
          <w:shd w:val="clear" w:color="auto" w:fill="FFFFFF"/>
        </w:rPr>
        <w:t>年内蒙古商贸职业学院预算公开表</w:t>
      </w:r>
      <w:r>
        <w:rPr>
          <w:rStyle w:val="7"/>
          <w:rFonts w:hint="eastAsia" w:ascii="仿宋" w:hAnsi="仿宋" w:eastAsia="仿宋" w:cs="仿宋"/>
          <w:color w:val="auto"/>
          <w:sz w:val="32"/>
          <w:szCs w:val="32"/>
          <w:u w:val="none"/>
          <w:shd w:val="clear" w:color="auto" w:fill="FFFFFF"/>
        </w:rPr>
        <w:fldChar w:fldCharType="end"/>
      </w:r>
      <w:r>
        <w:rPr>
          <w:rFonts w:hint="eastAsia" w:ascii="仿宋" w:hAnsi="仿宋" w:eastAsia="仿宋" w:cs="仿宋"/>
          <w:kern w:val="0"/>
          <w:sz w:val="32"/>
          <w:szCs w:val="32"/>
          <w:shd w:val="clear" w:color="auto" w:fill="FFFFFF"/>
        </w:rPr>
        <w:br w:type="textWrapping"/>
      </w:r>
    </w:p>
    <w:p>
      <w:pPr>
        <w:widowControl/>
        <w:shd w:val="clear" w:color="auto"/>
        <w:spacing w:beforeAutospacing="1" w:afterAutospacing="1" w:line="540" w:lineRule="atLeast"/>
        <w:jc w:val="left"/>
        <w:rPr>
          <w:rFonts w:hint="eastAsia" w:ascii="仿宋" w:hAnsi="仿宋" w:eastAsia="仿宋" w:cs="仿宋"/>
          <w:kern w:val="0"/>
          <w:sz w:val="32"/>
          <w:szCs w:val="32"/>
          <w:shd w:val="clear" w:color="auto" w:fill="FFFFFF"/>
        </w:rPr>
      </w:pP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3"/>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59AE5"/>
    <w:multiLevelType w:val="singleLevel"/>
    <w:tmpl w:val="9B559A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E6"/>
    <w:rsid w:val="000268B0"/>
    <w:rsid w:val="00036F19"/>
    <w:rsid w:val="000A08DC"/>
    <w:rsid w:val="000B573C"/>
    <w:rsid w:val="000C7747"/>
    <w:rsid w:val="00147C97"/>
    <w:rsid w:val="00227FEA"/>
    <w:rsid w:val="00242CBF"/>
    <w:rsid w:val="002458B9"/>
    <w:rsid w:val="00254DFE"/>
    <w:rsid w:val="00360FB6"/>
    <w:rsid w:val="00400483"/>
    <w:rsid w:val="004016EB"/>
    <w:rsid w:val="00444F87"/>
    <w:rsid w:val="00475698"/>
    <w:rsid w:val="004941CD"/>
    <w:rsid w:val="004B1433"/>
    <w:rsid w:val="004B1FF9"/>
    <w:rsid w:val="004B4681"/>
    <w:rsid w:val="0051767B"/>
    <w:rsid w:val="00535470"/>
    <w:rsid w:val="00593FBC"/>
    <w:rsid w:val="005C1CC1"/>
    <w:rsid w:val="005C6303"/>
    <w:rsid w:val="0060502B"/>
    <w:rsid w:val="006122FE"/>
    <w:rsid w:val="0062048A"/>
    <w:rsid w:val="006478BB"/>
    <w:rsid w:val="00694F68"/>
    <w:rsid w:val="006D3CE2"/>
    <w:rsid w:val="006F746C"/>
    <w:rsid w:val="00724952"/>
    <w:rsid w:val="0076694D"/>
    <w:rsid w:val="00792EBB"/>
    <w:rsid w:val="007A192D"/>
    <w:rsid w:val="007D660A"/>
    <w:rsid w:val="007E23D0"/>
    <w:rsid w:val="008247C6"/>
    <w:rsid w:val="00824D4D"/>
    <w:rsid w:val="00833A39"/>
    <w:rsid w:val="00834963"/>
    <w:rsid w:val="008C66CB"/>
    <w:rsid w:val="008E5C18"/>
    <w:rsid w:val="0096078A"/>
    <w:rsid w:val="00993E2B"/>
    <w:rsid w:val="009F7B24"/>
    <w:rsid w:val="00A95E52"/>
    <w:rsid w:val="00AA76F4"/>
    <w:rsid w:val="00B243C4"/>
    <w:rsid w:val="00B5788E"/>
    <w:rsid w:val="00B665C2"/>
    <w:rsid w:val="00BC4EB4"/>
    <w:rsid w:val="00C137EA"/>
    <w:rsid w:val="00C35CE2"/>
    <w:rsid w:val="00C963D7"/>
    <w:rsid w:val="00CA4AB8"/>
    <w:rsid w:val="00CA6E0A"/>
    <w:rsid w:val="00CE279F"/>
    <w:rsid w:val="00D30A66"/>
    <w:rsid w:val="00D411D8"/>
    <w:rsid w:val="00DC0DCE"/>
    <w:rsid w:val="00E24048"/>
    <w:rsid w:val="00E257F7"/>
    <w:rsid w:val="00EF6B04"/>
    <w:rsid w:val="00F11D61"/>
    <w:rsid w:val="00F14B76"/>
    <w:rsid w:val="00F20120"/>
    <w:rsid w:val="00F868E6"/>
    <w:rsid w:val="01241797"/>
    <w:rsid w:val="02005B8D"/>
    <w:rsid w:val="0A8D3D36"/>
    <w:rsid w:val="0BD77FB8"/>
    <w:rsid w:val="0DAA05F7"/>
    <w:rsid w:val="108E4A29"/>
    <w:rsid w:val="109B392F"/>
    <w:rsid w:val="12615520"/>
    <w:rsid w:val="134E1B7E"/>
    <w:rsid w:val="143F0797"/>
    <w:rsid w:val="183F0578"/>
    <w:rsid w:val="198A3BDF"/>
    <w:rsid w:val="1C6162F1"/>
    <w:rsid w:val="1CC80C01"/>
    <w:rsid w:val="1F130FDC"/>
    <w:rsid w:val="1F793FBA"/>
    <w:rsid w:val="22A75E85"/>
    <w:rsid w:val="28652136"/>
    <w:rsid w:val="2F4311D2"/>
    <w:rsid w:val="35C653DF"/>
    <w:rsid w:val="37DA7380"/>
    <w:rsid w:val="38406464"/>
    <w:rsid w:val="3D7502B1"/>
    <w:rsid w:val="3E903D9B"/>
    <w:rsid w:val="3F0E681D"/>
    <w:rsid w:val="3FDC3583"/>
    <w:rsid w:val="402B218D"/>
    <w:rsid w:val="40554BA2"/>
    <w:rsid w:val="428E20C0"/>
    <w:rsid w:val="43A82849"/>
    <w:rsid w:val="4B57733A"/>
    <w:rsid w:val="4FB0266E"/>
    <w:rsid w:val="526E704B"/>
    <w:rsid w:val="54C10CF2"/>
    <w:rsid w:val="57DA31DB"/>
    <w:rsid w:val="58AF1F62"/>
    <w:rsid w:val="5AF73156"/>
    <w:rsid w:val="5BD62414"/>
    <w:rsid w:val="5CEA5C7A"/>
    <w:rsid w:val="6287286D"/>
    <w:rsid w:val="672C7CD4"/>
    <w:rsid w:val="677D6108"/>
    <w:rsid w:val="68C83529"/>
    <w:rsid w:val="735F577F"/>
    <w:rsid w:val="74274D67"/>
    <w:rsid w:val="744D0BB3"/>
    <w:rsid w:val="75C525A1"/>
    <w:rsid w:val="76197ACC"/>
    <w:rsid w:val="767B65B5"/>
    <w:rsid w:val="7B9557EB"/>
    <w:rsid w:val="7C835CD5"/>
    <w:rsid w:val="7CE84718"/>
    <w:rsid w:val="7E1E01B3"/>
    <w:rsid w:val="7FAE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 w:type="paragraph" w:styleId="8">
    <w:name w:val="List Paragraph"/>
    <w:basedOn w:val="1"/>
    <w:unhideWhenUsed/>
    <w:qFormat/>
    <w:uiPriority w:val="99"/>
    <w:pPr>
      <w:ind w:firstLine="420" w:firstLineChars="200"/>
    </w:pPr>
  </w:style>
  <w:style w:type="character" w:customStyle="1" w:styleId="9">
    <w:name w:val="批注框文本 Char"/>
    <w:basedOn w:val="6"/>
    <w:link w:val="2"/>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4248</Words>
  <Characters>956</Characters>
  <Lines>7</Lines>
  <Paragraphs>10</Paragraphs>
  <TotalTime>106</TotalTime>
  <ScaleCrop>false</ScaleCrop>
  <LinksUpToDate>false</LinksUpToDate>
  <CharactersWithSpaces>5194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2021-02-19T03:30:00Z</dcterms:created>
  <dc:creator>lenovo</dc:creator>
  <cp:lastModifiedBy>Administrator</cp:lastModifiedBy>
  <cp:lastPrinted>2022-02-10T10:28:00Z</cp:lastPrinted>
  <dcterms:modified xsi:type="dcterms:W3CDTF">2022-02-11T10:03:54Z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45FBAC7AFEC7406680BE2AB0EBA8D29E</vt:lpwstr>
  </property>
</Properties>
</file>